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D9" w:rsidRDefault="009F2D4B" w:rsidP="000660D9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660D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B05EB84" wp14:editId="5D29213C">
            <wp:simplePos x="0" y="0"/>
            <wp:positionH relativeFrom="column">
              <wp:posOffset>-1181100</wp:posOffset>
            </wp:positionH>
            <wp:positionV relativeFrom="paragraph">
              <wp:posOffset>-1036100</wp:posOffset>
            </wp:positionV>
            <wp:extent cx="7467600" cy="10561100"/>
            <wp:effectExtent l="0" t="0" r="0" b="0"/>
            <wp:wrapNone/>
            <wp:docPr id="2" name="Рисунок 2" descr="C:\Users\асер\Desktop\титульники ВАЛЕНТИН\2022-10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р\Desktop\титульники ВАЛЕНТИН\2022-10-1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BF4"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="000660D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</w:t>
      </w:r>
    </w:p>
    <w:p w:rsidR="000660D9" w:rsidRDefault="000660D9" w:rsidP="000660D9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9F2D4B" w:rsidRDefault="000660D9" w:rsidP="000660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</w:t>
      </w:r>
    </w:p>
    <w:p w:rsidR="009F2D4B" w:rsidRDefault="009F2D4B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9E0EEF" w:rsidRPr="000660D9" w:rsidRDefault="009E0EEF" w:rsidP="009F2D4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E0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E0EEF" w:rsidRDefault="009E0EEF" w:rsidP="009E0EE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</w:t>
      </w:r>
      <w:r w:rsidR="00F52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предмета «География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 нормативных документов:</w:t>
      </w:r>
    </w:p>
    <w:p w:rsidR="00DC0BF4" w:rsidRPr="00DC0BF4" w:rsidRDefault="00DC0BF4" w:rsidP="00DC0BF4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</w:pPr>
      <w:r w:rsidRPr="00DC0BF4"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  <w:t>Федеральный закон "Об образовании в Российской Федерации" от 29.12.2012 N 273-ФЗ (ред. от 02.07.2021);</w:t>
      </w:r>
    </w:p>
    <w:p w:rsidR="00DC0BF4" w:rsidRPr="00DC0BF4" w:rsidRDefault="00DC0BF4" w:rsidP="00DC0BF4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</w:pPr>
      <w:r w:rsidRPr="00DC0BF4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 w:rsidRPr="00DC0BF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19 декабря</w:t>
      </w:r>
      <w:r w:rsidRPr="00DC0BF4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 xml:space="preserve"> 2014 г. </w:t>
      </w:r>
      <w:r w:rsidRPr="00DC0BF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№1599</w:t>
      </w:r>
      <w:r w:rsidRPr="00DC0BF4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>;</w:t>
      </w:r>
      <w:r w:rsidRPr="00DC0BF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C0BF4">
        <w:rPr>
          <w:rFonts w:ascii="Times New Roman" w:eastAsia="Andale Sans UI" w:hAnsi="Times New Roman" w:cs="Times New Roman"/>
          <w:kern w:val="2"/>
          <w:sz w:val="24"/>
          <w:szCs w:val="24"/>
          <w:lang w:val="x-none" w:eastAsia="ru-RU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г., 11 дек 2020г);</w:t>
      </w:r>
    </w:p>
    <w:p w:rsidR="00DC0BF4" w:rsidRPr="00DC0BF4" w:rsidRDefault="00DC0BF4" w:rsidP="00DC0BF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ООО МОУ Ишненская СОШ (утв. приказом директора № 113 от 30.08.17 г.)</w:t>
      </w:r>
    </w:p>
    <w:p w:rsidR="00DC0BF4" w:rsidRPr="00DC0BF4" w:rsidRDefault="00DC0BF4" w:rsidP="00DC0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МОУ Ишненская СОШ (утв. приказом директора № 307 от 31.08.2022 г);</w:t>
      </w:r>
    </w:p>
    <w:p w:rsidR="00DC0BF4" w:rsidRPr="00DC0BF4" w:rsidRDefault="00DC0BF4" w:rsidP="00DC0BF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МОУ Ишненская СОШ (утв. приказом директора № 308 от 31.08.2022);</w:t>
      </w:r>
    </w:p>
    <w:p w:rsidR="00DC0BF4" w:rsidRPr="00DC0BF4" w:rsidRDefault="00DC0BF4" w:rsidP="00DC0BF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по ФГОС ООО (утв. приказом директора №243о/д от 27.08.2021 г);</w:t>
      </w:r>
    </w:p>
    <w:p w:rsidR="00DC0BF4" w:rsidRPr="00DC0BF4" w:rsidRDefault="00DC0BF4" w:rsidP="00DC0B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Методическое письмо ГОАУ ИРО о преподавании учебных  предметов  в образовательных организациях Ярославской области в 2022/2023 уч. г.</w:t>
      </w:r>
    </w:p>
    <w:p w:rsidR="00DC0BF4" w:rsidRPr="00DC0BF4" w:rsidRDefault="00DC0BF4" w:rsidP="00DC0B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2011) </w:t>
      </w:r>
    </w:p>
    <w:p w:rsidR="00DC0BF4" w:rsidRPr="00DC0BF4" w:rsidRDefault="00DC0BF4" w:rsidP="00DC0B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C0BF4"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9E0EEF" w:rsidRDefault="009E0EEF" w:rsidP="009E0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 - надомная.</w:t>
      </w:r>
    </w:p>
    <w:p w:rsidR="009E0EEF" w:rsidRDefault="009E0EEF" w:rsidP="009E0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EEF" w:rsidRDefault="009E0EEF" w:rsidP="009E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в учебном процессе следующего учебника:</w:t>
      </w:r>
      <w:r>
        <w:rPr>
          <w:rFonts w:ascii="Times New Roman" w:hAnsi="Times New Roman" w:cs="Times New Roman"/>
          <w:sz w:val="24"/>
          <w:szCs w:val="24"/>
        </w:rPr>
        <w:t xml:space="preserve"> Лифанова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Т.М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Соломина Е.Н.  Г</w:t>
      </w:r>
      <w:r w:rsidR="00DC0BF4">
        <w:rPr>
          <w:rFonts w:ascii="Times New Roman" w:hAnsi="Times New Roman" w:cs="Times New Roman"/>
          <w:sz w:val="24"/>
          <w:szCs w:val="24"/>
        </w:rPr>
        <w:t xml:space="preserve">еография материков и </w:t>
      </w:r>
      <w:proofErr w:type="gramStart"/>
      <w:r w:rsidR="00DC0BF4">
        <w:rPr>
          <w:rFonts w:ascii="Times New Roman" w:hAnsi="Times New Roman" w:cs="Times New Roman"/>
          <w:sz w:val="24"/>
          <w:szCs w:val="24"/>
        </w:rPr>
        <w:t>океанов, 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2014</w:t>
      </w:r>
    </w:p>
    <w:p w:rsidR="009E0EEF" w:rsidRDefault="009E0EEF" w:rsidP="009E0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BF4" w:rsidRDefault="009E0EEF" w:rsidP="009E0E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учебном плане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0,5 </w:t>
      </w:r>
      <w:proofErr w:type="gramStart"/>
      <w:r w:rsidR="00A851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 w:rsidR="00A8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неделю, 17 часов в год.(34 урока по 0,5 часа)</w:t>
      </w:r>
    </w:p>
    <w:p w:rsidR="00DC0BF4" w:rsidRPr="0042354F" w:rsidRDefault="00DC0BF4" w:rsidP="0042354F">
      <w:pPr>
        <w:rPr>
          <w:rStyle w:val="FontStyle38"/>
          <w:sz w:val="24"/>
          <w:szCs w:val="24"/>
        </w:rPr>
      </w:pPr>
      <w:r w:rsidRPr="0042354F">
        <w:rPr>
          <w:rStyle w:val="FontStyle38"/>
          <w:b/>
          <w:bCs/>
          <w:i/>
          <w:iCs/>
          <w:sz w:val="24"/>
          <w:szCs w:val="24"/>
        </w:rPr>
        <w:t>Цель:</w:t>
      </w:r>
      <w:r w:rsidRPr="0042354F">
        <w:rPr>
          <w:rStyle w:val="FontStyle38"/>
          <w:sz w:val="24"/>
          <w:szCs w:val="24"/>
        </w:rPr>
        <w:t xml:space="preserve"> 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DC0BF4" w:rsidRPr="0042354F" w:rsidRDefault="00DC0BF4" w:rsidP="0042354F">
      <w:pPr>
        <w:rPr>
          <w:rStyle w:val="FontStyle38"/>
          <w:i/>
          <w:iCs/>
          <w:sz w:val="24"/>
          <w:szCs w:val="24"/>
        </w:rPr>
      </w:pPr>
      <w:r w:rsidRPr="0042354F">
        <w:rPr>
          <w:rStyle w:val="FontStyle38"/>
          <w:b/>
          <w:bCs/>
          <w:i/>
          <w:iCs/>
          <w:sz w:val="24"/>
          <w:szCs w:val="24"/>
        </w:rPr>
        <w:t>Задачи</w:t>
      </w:r>
      <w:r w:rsidRPr="0042354F">
        <w:rPr>
          <w:rStyle w:val="FontStyle38"/>
          <w:i/>
          <w:iCs/>
          <w:sz w:val="24"/>
          <w:szCs w:val="24"/>
        </w:rPr>
        <w:t>:</w:t>
      </w:r>
    </w:p>
    <w:p w:rsidR="00DC0BF4" w:rsidRPr="0042354F" w:rsidRDefault="00DC0BF4" w:rsidP="0042354F">
      <w:pPr>
        <w:rPr>
          <w:rStyle w:val="FontStyle38"/>
          <w:sz w:val="24"/>
          <w:szCs w:val="24"/>
        </w:rPr>
      </w:pPr>
      <w:r w:rsidRPr="0042354F">
        <w:rPr>
          <w:rStyle w:val="FontStyle38"/>
          <w:sz w:val="24"/>
          <w:szCs w:val="24"/>
        </w:rPr>
        <w:t>формирование элементарных географических представлений;</w:t>
      </w:r>
    </w:p>
    <w:p w:rsidR="00DC0BF4" w:rsidRPr="0042354F" w:rsidRDefault="00DC0BF4" w:rsidP="0042354F">
      <w:pPr>
        <w:rPr>
          <w:rStyle w:val="FontStyle38"/>
          <w:sz w:val="24"/>
          <w:szCs w:val="24"/>
        </w:rPr>
      </w:pPr>
      <w:r w:rsidRPr="0042354F">
        <w:rPr>
          <w:rStyle w:val="FontStyle38"/>
          <w:sz w:val="24"/>
          <w:szCs w:val="24"/>
        </w:rPr>
        <w:t xml:space="preserve">развитие </w:t>
      </w:r>
      <w:proofErr w:type="gramStart"/>
      <w:r w:rsidRPr="0042354F">
        <w:rPr>
          <w:rStyle w:val="FontStyle38"/>
          <w:sz w:val="24"/>
          <w:szCs w:val="24"/>
        </w:rPr>
        <w:t>ключевых компетенций</w:t>
      </w:r>
      <w:proofErr w:type="gramEnd"/>
      <w:r w:rsidRPr="0042354F">
        <w:rPr>
          <w:rStyle w:val="FontStyle38"/>
          <w:sz w:val="24"/>
          <w:szCs w:val="24"/>
        </w:rPr>
        <w:t xml:space="preserve"> обучающихся (коммуникативные, информационные, кооперативные и др.);</w:t>
      </w:r>
    </w:p>
    <w:p w:rsidR="00DC0BF4" w:rsidRPr="0042354F" w:rsidRDefault="00DC0BF4" w:rsidP="0042354F">
      <w:pPr>
        <w:rPr>
          <w:rStyle w:val="FontStyle38"/>
          <w:sz w:val="24"/>
          <w:szCs w:val="24"/>
        </w:rPr>
      </w:pPr>
      <w:r w:rsidRPr="0042354F">
        <w:rPr>
          <w:rStyle w:val="FontStyle38"/>
          <w:sz w:val="24"/>
          <w:szCs w:val="24"/>
        </w:rPr>
        <w:t>развитие любознательности, научного мировоззрения;</w:t>
      </w:r>
    </w:p>
    <w:p w:rsidR="00DC0BF4" w:rsidRPr="0042354F" w:rsidRDefault="00DC0BF4" w:rsidP="0042354F">
      <w:pPr>
        <w:rPr>
          <w:rStyle w:val="FontStyle38"/>
          <w:sz w:val="24"/>
          <w:szCs w:val="24"/>
        </w:rPr>
      </w:pPr>
      <w:r w:rsidRPr="0042354F">
        <w:rPr>
          <w:rStyle w:val="FontStyle38"/>
          <w:sz w:val="24"/>
          <w:szCs w:val="24"/>
        </w:rPr>
        <w:t>формирование умений работать с географической картой, графической наглядностью;</w:t>
      </w:r>
    </w:p>
    <w:p w:rsidR="00DC0BF4" w:rsidRPr="0042354F" w:rsidRDefault="00DC0BF4" w:rsidP="0042354F">
      <w:pPr>
        <w:rPr>
          <w:rStyle w:val="FontStyle38"/>
          <w:sz w:val="24"/>
          <w:szCs w:val="24"/>
        </w:rPr>
      </w:pPr>
      <w:r w:rsidRPr="0042354F">
        <w:rPr>
          <w:rStyle w:val="FontStyle38"/>
          <w:sz w:val="24"/>
          <w:szCs w:val="24"/>
        </w:rPr>
        <w:lastRenderedPageBreak/>
        <w:t>привитие любви к Родине, её природе, умение бережно относиться к природе своего края;</w:t>
      </w:r>
    </w:p>
    <w:p w:rsidR="00DC0BF4" w:rsidRPr="0042354F" w:rsidRDefault="00DC0BF4" w:rsidP="0042354F">
      <w:pPr>
        <w:rPr>
          <w:rStyle w:val="FontStyle38"/>
          <w:sz w:val="24"/>
          <w:szCs w:val="24"/>
        </w:rPr>
      </w:pPr>
      <w:r w:rsidRPr="0042354F">
        <w:rPr>
          <w:rStyle w:val="FontStyle38"/>
          <w:sz w:val="24"/>
          <w:szCs w:val="24"/>
        </w:rPr>
        <w:t>привитие гражданских и патриотических чувств.</w:t>
      </w:r>
    </w:p>
    <w:p w:rsidR="00DC0BF4" w:rsidRDefault="00DC0BF4" w:rsidP="00DC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курса  </w:t>
      </w: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карта Евразии. Государства Евразии (обзор</w:t>
      </w:r>
      <w:r>
        <w:rPr>
          <w:rFonts w:ascii="Times New Roman" w:hAnsi="Times New Roman" w:cs="Times New Roman"/>
          <w:i/>
          <w:iCs/>
          <w:sz w:val="24"/>
          <w:szCs w:val="24"/>
        </w:rPr>
        <w:t>). Западная Европа</w:t>
      </w:r>
      <w:r>
        <w:rPr>
          <w:rFonts w:ascii="Times New Roman" w:hAnsi="Times New Roman" w:cs="Times New Roman"/>
          <w:sz w:val="24"/>
          <w:szCs w:val="24"/>
        </w:rPr>
        <w:t xml:space="preserve">. Великобритания (Соединенное Королевство Великобритании и Северной Ирландии). Франция (Французская Республика).  Германия (Федеративная Республика Германия). Австрия (Австрийская Республика). Швейцария (Швейцарская Конфедерация). </w:t>
      </w:r>
      <w:r>
        <w:rPr>
          <w:rFonts w:ascii="Times New Roman" w:hAnsi="Times New Roman" w:cs="Times New Roman"/>
          <w:i/>
          <w:iCs/>
          <w:sz w:val="24"/>
          <w:szCs w:val="24"/>
        </w:rPr>
        <w:t>Южная Европа</w:t>
      </w:r>
      <w:r>
        <w:rPr>
          <w:rFonts w:ascii="Times New Roman" w:hAnsi="Times New Roman" w:cs="Times New Roman"/>
          <w:sz w:val="24"/>
          <w:szCs w:val="24"/>
        </w:rPr>
        <w:t xml:space="preserve">.  Испания. Португалия (Португальская Республика).  Италия (Итальянская Республика). Греция (Греческая Республика). </w:t>
      </w:r>
      <w:r>
        <w:rPr>
          <w:rFonts w:ascii="Times New Roman" w:hAnsi="Times New Roman" w:cs="Times New Roman"/>
          <w:i/>
          <w:iCs/>
          <w:sz w:val="24"/>
          <w:szCs w:val="24"/>
        </w:rPr>
        <w:t>Северная Европа</w:t>
      </w:r>
      <w:r>
        <w:rPr>
          <w:rFonts w:ascii="Times New Roman" w:hAnsi="Times New Roman" w:cs="Times New Roman"/>
          <w:sz w:val="24"/>
          <w:szCs w:val="24"/>
        </w:rPr>
        <w:t xml:space="preserve">  Норвегия (Королевство Норвегия). Швеция (Королевство Швеция).  Финляндия (Финляндская Республика). </w:t>
      </w:r>
      <w:r>
        <w:rPr>
          <w:rFonts w:ascii="Times New Roman" w:hAnsi="Times New Roman" w:cs="Times New Roman"/>
          <w:i/>
          <w:iCs/>
          <w:sz w:val="24"/>
          <w:szCs w:val="24"/>
        </w:rPr>
        <w:t>Восточная Европа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Польша (Республика Польша). Чехия (Чешская Республика). Словакия (Словацкая Республика). Венгрия (Венгерская Республика). Румыния (Республика Румыния). Болгария (Республика Болгария). Эстония (Эстонская Республика).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Латвия(</w:t>
      </w:r>
      <w:proofErr w:type="gramEnd"/>
      <w:r>
        <w:rPr>
          <w:rFonts w:ascii="Times New Roman" w:hAnsi="Times New Roman" w:cs="Times New Roman"/>
          <w:sz w:val="24"/>
          <w:szCs w:val="24"/>
        </w:rPr>
        <w:t>Латвийская Республика). Литва (Литовская Республика). Белоруссия (Республика Беларусь). Украина. Молдавия (Республика Молдова).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Центральная Азия</w:t>
      </w:r>
    </w:p>
    <w:p w:rsidR="00DC0BF4" w:rsidRDefault="00DC0BF4" w:rsidP="00DC0BF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Казахстан (Республика Казахстан). Узбекистан (Республика Узбекистан). Туркмения (Туркменистан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).Киргизия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(Кыргызстан).Таджикистан (Республика Таджикистан). Юго-Западная Азия. Грузия (Республика Грузия). Азербайджан (Азербайджанская Республика). Армения (Республика Армения). Турция (Республика Турция). Ирак (Республика Ирак). Иран (Исламская Республика Иран). Афганистан (Исламское Государство Афганистан).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Южная Азия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Индия (Республика Индия).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Восточная Азия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Китай (Китайская Народная Республика). Монголия (Монгольская Народная Республика). Корея (Корейская Народно-Демократическая Республика и Республика Корея</w:t>
      </w:r>
      <w:proofErr w:type="gramStart"/>
      <w:r>
        <w:rPr>
          <w:rFonts w:ascii="Times New Roman" w:hAnsi="Times New Roman" w:cs="Times New Roman"/>
          <w:sz w:val="24"/>
          <w:szCs w:val="24"/>
        </w:rPr>
        <w:t>).Япония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Юго-Восточная Азия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Вьетнам (Социалистическая Республика Вьетнам). Лаос (Лаосская Народно-Демократическая Республика). Таиланд (Королевство Таиланд) или другие страны по выбору учителя.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Россия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Россия (Российская Федерация) — крупнейшее государство Евразии. Сухопутные и морские границы России (повторение).  Административное деление России (повторение). Столица, крупные города России. Обобщающий урок. Контрольная работа.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связи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Российской империи. Образование и распад СССР. Суверенная Россия (история).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Практические  работы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государств Евразии, их столиц и изученных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городов.Нанесение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границы Европы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Азии.Составление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альбома «По странам и континентам».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Свой край 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История возникновения нашего края.2. Положение на карте области, края. Границы. Поверхность.3. Климат. Предсказание погоды по местным признакам. Народные приметы.4. Полезные ископаемые и почвы нашей местности.5. Реки, пруды, озера, каналы нашей местности. Водоснабжение нашего края питьевой водой. Охрана водоемов.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Растительный мир нашего края (деревья, кустарники, травы, цветочно-декоративные растения, грибы, орехи, ягоды, лекарственные растения). Красная книга. Охрана растительного мира.7.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заказники.8_Население нашего края (области). Его состав. Национальные обычаи, традиции, костюмы, фольклорные песни и танцы, национальная кухня.9. Промышленность нашей местности. Ближайшее промышленное предприятие, где могут работать выпускники школы.10. Специализация сельского хозяйства (растениеводство, животноводство, бахчеводство и т.п.).11. Транспорт нашего края (наземный, железнодорожный, авиационный, речной).12. Архитектурно-исторические и культурные памятники нашего края.13. Наш город (поселок, деревня). 14. Обобщающий урок «Моя малая Родина».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 работы</w:t>
      </w: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область.З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арисовать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связи</w:t>
      </w:r>
    </w:p>
    <w:p w:rsidR="00DC0BF4" w:rsidRDefault="00DC0BF4" w:rsidP="00DC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изменения в природе (природоведение). История нашего края (история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).Почвы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полезные ископаемые, водные ресурсы, растительный и животный мир, экологические проблемы (естествознание). Фольклор (музыка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).Сфера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быта, национальные блюда (СБО). Архитектурные памятники (изобразительная деятельность).</w:t>
      </w: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F4" w:rsidRDefault="00DC0BF4" w:rsidP="00DC0BF4">
      <w:pPr>
        <w:tabs>
          <w:tab w:val="left" w:pos="308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>
      <w:pPr>
        <w:tabs>
          <w:tab w:val="left" w:pos="308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1.Планируемые результаты обучения:</w:t>
      </w: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учащиеся будут знать: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Географическое положение, столицы и характерные особенности изучаемых государств Евразии.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Границы, государственный строй и символику России.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поведения  в природе, меры безопасности при стихийных бедствиях.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Медицинские учреждения и отделы социальной защиты своей местности.</w:t>
      </w: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учащиеся будут уметь: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Находить на политической карте Евразии, изучаемые государства и их столицы.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По иллюстрациям характерных достопримечательностей узнавать отдельные города Евразии.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Показать Россию на политических картах мира и Евразии.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Находить свою местность на карте России (политико-административной, физической и карте природных зон)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  Давать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сложную характеристику природных условий и хозяйственных ресурсов своей местности , давать краткую  историческую справку о прошлом своего края.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  Называть и показывать на иллюстрациях изученные культурные и исторические памятники своего края.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  Правильно вести себя  в природе.</w:t>
      </w: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>
      <w:pPr>
        <w:rPr>
          <w:rFonts w:ascii="Times New Roman" w:hAnsi="Times New Roman"/>
          <w:sz w:val="24"/>
          <w:szCs w:val="24"/>
        </w:rPr>
      </w:pPr>
      <w:r w:rsidRPr="00DE44C5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DC0BF4" w:rsidRDefault="00DC0BF4" w:rsidP="00DC0BF4">
      <w:pPr>
        <w:rPr>
          <w:rFonts w:ascii="Times New Roman" w:hAnsi="Times New Roman"/>
          <w:sz w:val="24"/>
          <w:szCs w:val="24"/>
        </w:rPr>
      </w:pPr>
    </w:p>
    <w:p w:rsidR="00DC0BF4" w:rsidRDefault="00DC0BF4" w:rsidP="00DC0BF4">
      <w:pPr>
        <w:rPr>
          <w:rFonts w:ascii="Times New Roman" w:hAnsi="Times New Roman"/>
          <w:sz w:val="24"/>
          <w:szCs w:val="24"/>
        </w:rPr>
      </w:pPr>
    </w:p>
    <w:p w:rsidR="00DC0BF4" w:rsidRPr="00DE44C5" w:rsidRDefault="00DC0BF4" w:rsidP="00DC0BF4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Style w:val="a4"/>
        <w:tblpPr w:leftFromText="180" w:rightFromText="180" w:vertAnchor="text" w:horzAnchor="margin" w:tblpY="346"/>
        <w:tblW w:w="9906" w:type="dxa"/>
        <w:tblLook w:val="04A0" w:firstRow="1" w:lastRow="0" w:firstColumn="1" w:lastColumn="0" w:noHBand="0" w:noVBand="1"/>
      </w:tblPr>
      <w:tblGrid>
        <w:gridCol w:w="612"/>
        <w:gridCol w:w="1849"/>
        <w:gridCol w:w="979"/>
        <w:gridCol w:w="2756"/>
        <w:gridCol w:w="3710"/>
      </w:tblGrid>
      <w:tr w:rsidR="00DC0BF4" w:rsidRPr="004C0253" w:rsidTr="005C69F8">
        <w:trPr>
          <w:trHeight w:val="6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4C0253" w:rsidRDefault="00DC0BF4" w:rsidP="005C69F8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4C0253" w:rsidRDefault="00DC0BF4" w:rsidP="005C69F8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4C0253" w:rsidRDefault="00A85151" w:rsidP="005C6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 по 0,5 часа в неделю</w:t>
            </w:r>
            <w:bookmarkStart w:id="0" w:name="_GoBack"/>
            <w:bookmarkEnd w:id="0"/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4C0253" w:rsidRDefault="00DC0BF4" w:rsidP="005C69F8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 воспитательного потенциала урока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4C0253" w:rsidRDefault="00DC0BF4" w:rsidP="005C69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42354F" w:rsidRPr="004C0253" w:rsidTr="005C69F8">
        <w:trPr>
          <w:trHeight w:val="9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Воспитания интереса к предмету.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hyperlink r:id="rId7" w:history="1">
              <w:r w:rsidR="0042354F" w:rsidRPr="00DB1F32">
                <w:rPr>
                  <w:rStyle w:val="a6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187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pStyle w:val="a9"/>
              <w:spacing w:before="0" w:after="0"/>
            </w:pPr>
            <w:r w:rsidRPr="006B6DF9">
              <w:t>Западная Европа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pStyle w:val="a9"/>
              <w:spacing w:before="0" w:after="0"/>
              <w:jc w:val="center"/>
            </w:pPr>
            <w:r w:rsidRPr="006B6DF9">
              <w:t>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332BCE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hyperlink r:id="rId8" w:history="1">
              <w:r w:rsidR="0042354F" w:rsidRPr="004C0253">
                <w:rPr>
                  <w:rStyle w:val="a6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42354F" w:rsidRDefault="0042354F" w:rsidP="0042354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r w:rsidRPr="006E4957">
              <w:rPr>
                <w:rStyle w:val="a6"/>
                <w:rFonts w:ascii="Times New Roman" w:eastAsia="Verdana" w:hAnsi="Times New Roman"/>
                <w:sz w:val="24"/>
                <w:szCs w:val="24"/>
              </w:rPr>
              <w:t>https://uchebnik.mos.ru/catalogue</w:t>
            </w:r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124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pStyle w:val="a9"/>
              <w:spacing w:before="0" w:after="0"/>
            </w:pPr>
            <w:r w:rsidRPr="006B6DF9">
              <w:t>Южная Европа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pStyle w:val="a9"/>
              <w:spacing w:before="0" w:after="0"/>
              <w:jc w:val="center"/>
            </w:pPr>
            <w:r w:rsidRPr="006B6DF9"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Рефлексивная самооценка, умение анализировать свои действия и управлять ими. </w:t>
            </w:r>
          </w:p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Установка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к работе на результат.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hyperlink r:id="rId9" w:history="1">
              <w:r w:rsidR="0042354F" w:rsidRPr="004C0253">
                <w:rPr>
                  <w:rStyle w:val="a6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42354F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31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кругозора.</w:t>
            </w:r>
          </w:p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Развитая мотивация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hyperlink r:id="rId11" w:history="1">
              <w:r w:rsidR="0042354F" w:rsidRPr="004C0253">
                <w:rPr>
                  <w:rStyle w:val="a6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42354F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42354F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42354F" w:rsidRPr="002E7D56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Азия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42354F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42354F" w:rsidRPr="002E7D56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42354F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Юго-Западная Азия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42354F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42354F" w:rsidRPr="002E7D56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Восточная Азия;</w:t>
            </w:r>
          </w:p>
          <w:p w:rsidR="0042354F" w:rsidRPr="006B6DF9" w:rsidRDefault="0042354F" w:rsidP="0042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42354F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42354F" w:rsidRPr="002E7D56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Развитая мотивация учебной деятельности и личностного смысла учения, заинтересованность в приобретении и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lastRenderedPageBreak/>
              <w:t>расширении знаний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1" w:history="1">
              <w:r w:rsidR="0042354F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42354F" w:rsidRPr="002E7D56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>интересованность в приобретении и расширении знаний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42354F" w:rsidRPr="002E7D56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Свой край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>аинтересованность в приобретении и расширении знаний</w:t>
            </w:r>
          </w:p>
        </w:tc>
        <w:tc>
          <w:tcPr>
            <w:tcW w:w="3710" w:type="dxa"/>
          </w:tcPr>
          <w:p w:rsidR="0042354F" w:rsidRDefault="00A85151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r w:rsidR="0042354F" w:rsidRPr="002E7D56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https://resh.edu.ru/</w:t>
              </w:r>
            </w:hyperlink>
          </w:p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4F" w:rsidRPr="004C0253" w:rsidTr="005C69F8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6B6DF9" w:rsidRDefault="0042354F" w:rsidP="0042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4F" w:rsidRPr="004C0253" w:rsidRDefault="0042354F" w:rsidP="00423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42354F" w:rsidRPr="004C0253" w:rsidRDefault="0042354F" w:rsidP="004235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0BF4" w:rsidRDefault="00DC0BF4" w:rsidP="00DC0BF4">
      <w:pPr>
        <w:pStyle w:val="122"/>
        <w:shd w:val="clear" w:color="auto" w:fill="auto"/>
        <w:spacing w:after="132"/>
        <w:ind w:left="20" w:firstLine="340"/>
        <w:rPr>
          <w:rStyle w:val="120"/>
          <w:b/>
          <w:bCs/>
          <w:i/>
          <w:iCs/>
          <w:sz w:val="24"/>
          <w:szCs w:val="24"/>
        </w:rPr>
      </w:pPr>
    </w:p>
    <w:p w:rsidR="00DC0BF4" w:rsidRDefault="00DC0BF4" w:rsidP="00DC0BF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DC0BF4" w:rsidRDefault="00DC0BF4" w:rsidP="00DC0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C0BF4" w:rsidRDefault="00DC0BF4" w:rsidP="00DC0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Календарно- тематический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(34 урока по 0,5 часа)</w:t>
      </w:r>
    </w:p>
    <w:p w:rsidR="00DC0BF4" w:rsidRDefault="00DC0BF4" w:rsidP="00DC0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07"/>
        <w:gridCol w:w="3946"/>
        <w:gridCol w:w="2346"/>
        <w:gridCol w:w="1240"/>
        <w:gridCol w:w="1001"/>
        <w:gridCol w:w="1000"/>
      </w:tblGrid>
      <w:tr w:rsidR="00DC0BF4" w:rsidRPr="006B6DF9" w:rsidTr="00DC0BF4">
        <w:trPr>
          <w:trHeight w:val="82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DF9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r w:rsidRPr="006B6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270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1 час)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136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Евразии. Государства Евразии.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№1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Западной Европы, их столиц»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3-4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270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ЗАПАДНАЯ ЕВРОПА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109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Великобритания: географическое положение, природа, экономика. население, культура, обычаи и традиции.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политической и физической картой и 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  картой населения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5-14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810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Франция: географическое положение, природа, экономика, население, культура, обычаи и традиции.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 и с  картой населения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15 - 22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87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Германия.</w:t>
            </w:r>
          </w:p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 xml:space="preserve"> Австрия. 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22-31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315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с..31-35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255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ЮЖНАЯ ЕВРОПА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(2часа)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109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Королевство Испания, Португалия.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№2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Южной Европы, их столиц»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36-41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87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Италия:  географическое положение, природа, экономика, население, культура, обычаи и традиции. Греция.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 и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42-52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270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СЕВЕРНАЯ ЕВРОПА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1922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Королевство Норвегия. Королевство Швеция.</w:t>
            </w:r>
          </w:p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Финляндия.</w:t>
            </w:r>
          </w:p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  работа</w:t>
            </w:r>
            <w:proofErr w:type="gramEnd"/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№3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Северной Европы, их столиц»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55-65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270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ВОСТОЧНАЯ ЕВРОПА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(6часов)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136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Польша, Чехия, Словакия. Венгрия.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№4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Восточной Европы, их столиц»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68-77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540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четверть</w:t>
            </w:r>
          </w:p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«Страны зарубежной Европы»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87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 xml:space="preserve">Румыния, Болгария. Сербия и Черногория.  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78-84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585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Эстония. Латвия.</w:t>
            </w:r>
            <w:r w:rsidRPr="006B6DF9">
              <w:t xml:space="preserve">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Литва.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84-94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585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Белоруссия.</w:t>
            </w:r>
            <w:r w:rsidRPr="006B6DF9">
              <w:t xml:space="preserve">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Украина.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95-102</w:t>
            </w:r>
          </w:p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540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Республика Молдова.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103-105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270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ЦЕНТРАЛЬНАЯ АЗИЯ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136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Казахстан. Узбекистан. Туркмения. Киргизия. Таджикистан.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№5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Центральной Азии, их столиц»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108-123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540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четверть. «Страны центральной Азии»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270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ЮГО-ЗАПАДНАЯ АЗИЯ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136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Грузия. Азербайджан</w:t>
            </w:r>
          </w:p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 Армения. Турция.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№6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Юго-Западной Азии, их столиц»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127-143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87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Республика Ирак. Исламская Республика Иран. Афганистан.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144-151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0BF4" w:rsidRPr="006B6DF9" w:rsidTr="00DC0BF4">
        <w:tblPrEx>
          <w:tblCellSpacing w:w="0" w:type="dxa"/>
        </w:tblPrEx>
        <w:trPr>
          <w:trHeight w:val="495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ЮЖНАЯ АЗИЯ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114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Индия: географическое положение, природа, экономика,  население, культура, обычаи и традиции.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№7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Южной Азии, их столиц»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154-157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495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ВОСТОЧНАЯ АЗИЯ (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3 часа)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136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Китай: географическое положение, природа, экономика, население, культура, обычаи и традиции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№8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Восточной Азии, их столиц»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162-166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142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Монгольская Народная Республика. Корейская Народно-Демократическая Республика и Республика Корея.</w:t>
            </w:r>
          </w:p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171-179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114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Япония: географическое положение, природа, экономика,  население, культура, обычаи и традиции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и физической картой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179-185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495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ЮГО-ВОСТОЧНАЯ АЗИЯ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136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Вьетнам. Таиланд. Лаос, Индонезия.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№9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государств Юго-Восточной Азии, их столиц»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190-193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87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«Юго-восточная Азия»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495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(2 часа).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87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Границы России. Россия – крупнейшее государство Евразии.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№10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«Обозначить на к/к границы России»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 194-195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810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России. Столица, крупные города России. Обобщающий урок.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Работа с физической картой России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с.199-202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510"/>
          <w:tblCellSpacing w:w="0" w:type="dxa"/>
        </w:trPr>
        <w:tc>
          <w:tcPr>
            <w:tcW w:w="9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СВОЙ КРАЙ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(8часов)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85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DC0BF4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BF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история возникновения области Рельеф и полезные ископаемые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Вычерчивание контура  НСО.</w:t>
            </w:r>
          </w:p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1411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DC0BF4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BF4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Предсказания погоды по местным признакам. Народные приметы. Внутренние воды  Ярославской области.  </w:t>
            </w:r>
          </w:p>
          <w:p w:rsidR="00DC0BF4" w:rsidRPr="00DC0BF4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109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 xml:space="preserve"> Почвы  Ярославской области Растительный мир.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  работа №12 </w:t>
            </w: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«Обозначение на к/к внутренних вод ЯО»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540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мира. Животный мир нашей местности.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510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Население области.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540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Промышленность. Сельское хозяйство. Транспорт.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495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BF4" w:rsidRPr="006B6DF9" w:rsidRDefault="00DC0BF4" w:rsidP="005C6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«Свой край»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  <w:tr w:rsidR="00DC0BF4" w:rsidRPr="006B6DF9" w:rsidTr="00DC0BF4">
        <w:tblPrEx>
          <w:tblCellSpacing w:w="0" w:type="dxa"/>
        </w:tblPrEx>
        <w:trPr>
          <w:trHeight w:val="826"/>
          <w:tblCellSpacing w:w="0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DC0BF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океанов. Государства Евразии»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F4" w:rsidRPr="006B6DF9" w:rsidRDefault="00DC0BF4" w:rsidP="005C6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DC0BF4" w:rsidRPr="006B6DF9" w:rsidRDefault="00DC0BF4" w:rsidP="005C69F8"/>
        </w:tc>
      </w:tr>
    </w:tbl>
    <w:p w:rsidR="00DC0BF4" w:rsidRDefault="00DC0BF4" w:rsidP="00DC0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BF4" w:rsidRDefault="00DC0BF4" w:rsidP="00DC0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BF4" w:rsidRDefault="00DC0BF4" w:rsidP="00DC0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BF4" w:rsidRDefault="00DC0BF4" w:rsidP="00DC0B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54A" w:rsidRDefault="00981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154A" w:rsidRDefault="00171781" w:rsidP="001717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8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:rsidR="00171781" w:rsidRDefault="00171781" w:rsidP="001717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2011) </w:t>
      </w:r>
    </w:p>
    <w:p w:rsidR="00171781" w:rsidRDefault="00171781" w:rsidP="00171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781" w:rsidRDefault="00171781" w:rsidP="00171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781" w:rsidRDefault="00171781" w:rsidP="00171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Лифанова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Т.М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Соломина Е.Н.  Г</w:t>
      </w:r>
      <w:r w:rsidR="00DC0BF4">
        <w:rPr>
          <w:rFonts w:ascii="Times New Roman" w:hAnsi="Times New Roman" w:cs="Times New Roman"/>
          <w:sz w:val="24"/>
          <w:szCs w:val="24"/>
        </w:rPr>
        <w:t xml:space="preserve">еография материков и </w:t>
      </w:r>
      <w:proofErr w:type="gramStart"/>
      <w:r w:rsidR="00DC0BF4">
        <w:rPr>
          <w:rFonts w:ascii="Times New Roman" w:hAnsi="Times New Roman" w:cs="Times New Roman"/>
          <w:sz w:val="24"/>
          <w:szCs w:val="24"/>
        </w:rPr>
        <w:t>океанов, 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2014</w:t>
      </w:r>
    </w:p>
    <w:p w:rsidR="00171781" w:rsidRPr="00171781" w:rsidRDefault="00171781" w:rsidP="0017178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71781" w:rsidRPr="00171781" w:rsidSect="0098154A">
      <w:pgSz w:w="11906" w:h="16838"/>
      <w:pgMar w:top="1440" w:right="42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F8E716"/>
    <w:multiLevelType w:val="singleLevel"/>
    <w:tmpl w:val="E6F8E7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2DCC1C53"/>
    <w:multiLevelType w:val="multilevel"/>
    <w:tmpl w:val="2DCC1C53"/>
    <w:lvl w:ilvl="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26444F"/>
    <w:multiLevelType w:val="multilevel"/>
    <w:tmpl w:val="382644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A3703DC"/>
    <w:multiLevelType w:val="multilevel"/>
    <w:tmpl w:val="3A3703DC"/>
    <w:lvl w:ilvl="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D9650C"/>
    <w:multiLevelType w:val="multilevel"/>
    <w:tmpl w:val="3AD9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AD9C5"/>
    <w:multiLevelType w:val="multilevel"/>
    <w:tmpl w:val="43CAD9C5"/>
    <w:lvl w:ilvl="0">
      <w:numFmt w:val="bullet"/>
      <w:lvlText w:val="-"/>
      <w:lvlJc w:val="left"/>
      <w:pPr>
        <w:tabs>
          <w:tab w:val="left" w:pos="1069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538E3E65"/>
    <w:multiLevelType w:val="hybridMultilevel"/>
    <w:tmpl w:val="F2BEEF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8530791"/>
    <w:multiLevelType w:val="multilevel"/>
    <w:tmpl w:val="6853079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23A63B48"/>
    <w:rsid w:val="000660D9"/>
    <w:rsid w:val="000C1F82"/>
    <w:rsid w:val="00143D44"/>
    <w:rsid w:val="00171781"/>
    <w:rsid w:val="00183839"/>
    <w:rsid w:val="00283A8F"/>
    <w:rsid w:val="002B7D7D"/>
    <w:rsid w:val="002E3B26"/>
    <w:rsid w:val="0032609E"/>
    <w:rsid w:val="0042354F"/>
    <w:rsid w:val="004C74BF"/>
    <w:rsid w:val="00527FC2"/>
    <w:rsid w:val="008457BD"/>
    <w:rsid w:val="0088131D"/>
    <w:rsid w:val="008F786E"/>
    <w:rsid w:val="0098154A"/>
    <w:rsid w:val="009B3FF6"/>
    <w:rsid w:val="009E0EEF"/>
    <w:rsid w:val="009F2D4B"/>
    <w:rsid w:val="009F76D0"/>
    <w:rsid w:val="00A4180F"/>
    <w:rsid w:val="00A85151"/>
    <w:rsid w:val="00BF5F4C"/>
    <w:rsid w:val="00C5566E"/>
    <w:rsid w:val="00CB3876"/>
    <w:rsid w:val="00DC0BF4"/>
    <w:rsid w:val="00F52D0C"/>
    <w:rsid w:val="00FC2848"/>
    <w:rsid w:val="0D234C5F"/>
    <w:rsid w:val="23A63B48"/>
    <w:rsid w:val="247B13CE"/>
    <w:rsid w:val="3FED3B3D"/>
    <w:rsid w:val="553A45BE"/>
    <w:rsid w:val="67EA221F"/>
    <w:rsid w:val="6A1B6CD2"/>
    <w:rsid w:val="7F6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4AB85"/>
  <w15:docId w15:val="{D5E81DC6-72E0-46FC-89C7-9A439BB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4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15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800000"/>
      <w:sz w:val="32"/>
      <w:szCs w:val="28"/>
      <w:lang w:eastAsia="ar-SA"/>
    </w:rPr>
  </w:style>
  <w:style w:type="table" w:styleId="a4">
    <w:name w:val="Table Grid"/>
    <w:basedOn w:val="a1"/>
    <w:uiPriority w:val="59"/>
    <w:qFormat/>
    <w:rsid w:val="00981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11">
    <w:name w:val="h-11"/>
    <w:basedOn w:val="a0"/>
    <w:rsid w:val="0098154A"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Style3">
    <w:name w:val="Style3"/>
    <w:basedOn w:val="a"/>
    <w:uiPriority w:val="99"/>
    <w:qFormat/>
    <w:rsid w:val="0098154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qFormat/>
    <w:rsid w:val="0098154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98154A"/>
    <w:pPr>
      <w:ind w:left="720"/>
      <w:contextualSpacing/>
    </w:pPr>
  </w:style>
  <w:style w:type="character" w:customStyle="1" w:styleId="3">
    <w:name w:val="Основной текст + Курсив3"/>
    <w:basedOn w:val="a0"/>
    <w:qFormat/>
    <w:rsid w:val="009F76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22">
    <w:name w:val="Основной текст (12)2"/>
    <w:basedOn w:val="a"/>
    <w:link w:val="12"/>
    <w:qFormat/>
    <w:rsid w:val="009F76D0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120">
    <w:name w:val="Основной текст (12)"/>
    <w:basedOn w:val="12"/>
    <w:qFormat/>
    <w:rsid w:val="009F76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2"/>
    <w:qFormat/>
    <w:rsid w:val="009F76D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styleId="a6">
    <w:name w:val="Hyperlink"/>
    <w:basedOn w:val="a0"/>
    <w:unhideWhenUsed/>
    <w:rsid w:val="009F76D0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8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8131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rsid w:val="00DC0BF4"/>
    <w:pPr>
      <w:autoSpaceDE w:val="0"/>
      <w:autoSpaceDN w:val="0"/>
      <w:adjustRightInd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semiHidden/>
    <w:unhideWhenUsed/>
    <w:rsid w:val="00423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chebnik.mos.ru/catalogue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асер</cp:lastModifiedBy>
  <cp:revision>36</cp:revision>
  <cp:lastPrinted>2022-09-27T16:20:00Z</cp:lastPrinted>
  <dcterms:created xsi:type="dcterms:W3CDTF">2018-09-16T12:53:00Z</dcterms:created>
  <dcterms:modified xsi:type="dcterms:W3CDTF">2023-06-19T17:02:00Z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