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5" w:rsidRPr="00E57688" w:rsidRDefault="002D7DC7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783586"/>
            <wp:effectExtent l="0" t="0" r="0" b="0"/>
            <wp:docPr id="2" name="Рисунок 2" descr="C:\Users\MARINA\OneDrive\Рабочий стол\2022-09-16_002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1DA5"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BF1DA5" w:rsidRPr="00E57688" w:rsidRDefault="00BF1DA5" w:rsidP="004612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B6610" w:rsidRDefault="003B6610" w:rsidP="003B6610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3B6610" w:rsidRDefault="003B6610" w:rsidP="003B661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ООП ООО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</w:t>
      </w:r>
      <w:proofErr w:type="gramStart"/>
      <w:r>
        <w:rPr>
          <w:rFonts w:ascii="Times New Roman" w:eastAsia="Times New Roman" w:hAnsi="Times New Roman"/>
          <w:sz w:val="24"/>
          <w:lang w:bidi="en-US"/>
        </w:rPr>
        <w:t>15</w:t>
      </w:r>
      <w:proofErr w:type="gramEnd"/>
      <w:r>
        <w:rPr>
          <w:rFonts w:ascii="Times New Roman" w:eastAsia="Times New Roman" w:hAnsi="Times New Roman"/>
          <w:sz w:val="24"/>
          <w:lang w:bidi="en-US"/>
        </w:rPr>
        <w:t xml:space="preserve"> а о/д от 15.01.2021 г);</w:t>
      </w:r>
    </w:p>
    <w:p w:rsidR="003B6610" w:rsidRDefault="003B6610" w:rsidP="003B661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Учебный план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№307 от 31.08.22 г);</w:t>
      </w:r>
    </w:p>
    <w:p w:rsidR="003B6610" w:rsidRDefault="003B6610" w:rsidP="003B661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308 от 31.08.22  г);  </w:t>
      </w:r>
    </w:p>
    <w:p w:rsidR="003B6610" w:rsidRDefault="003B6610" w:rsidP="003B661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6610" w:rsidRDefault="003B6610" w:rsidP="003B661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 от 8 апреля 2015 г. № 1/15)</w:t>
      </w:r>
      <w:proofErr w:type="gramEnd"/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актуализируютсяследующие цели: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речевомусамосовершенствованию;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общества). Сформированность ответственного отношения к учению; уважительногоотношения к труду, наличие опыта участия в социально значимом труде.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ознавательные,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(ввиде плана или тезисов) и в наглядно-символической форме (в виде таблиц,графических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какособой формы учебной работы, способствующей воспитанию самостоятельности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нициативности,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F1DA5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BF1DA5" w:rsidRPr="00714412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64297B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Национально-культурное  своеобразие диалектизмов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DA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и варианты норм произношения отдельных грамматических форм именсуществительных,имен прилагательных, глаголов.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>Смысловые‚ стилистические особенности употребления синонимов, антонимов, омонимов.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объяснение.Функциональные разновидности языкаУчебно-научный стиль.Структура устного ответа. Различные виды ответов:ответ-анализ, ответ-обобщение, ответ-добавление, ответ-группировка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приѐмы ведения спора.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 xml:space="preserve">языковые и структурные особенности.Язык художественной литературы.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 w:rsidR="0064297B">
        <w:rPr>
          <w:rFonts w:ascii="Times New Roman" w:hAnsi="Times New Roman" w:cs="Times New Roman"/>
          <w:sz w:val="24"/>
          <w:szCs w:val="24"/>
        </w:rPr>
        <w:t xml:space="preserve"> т</w:t>
      </w:r>
      <w:r w:rsidRPr="00BF1DA5">
        <w:rPr>
          <w:rFonts w:ascii="Times New Roman" w:hAnsi="Times New Roman" w:cs="Times New Roman"/>
          <w:sz w:val="24"/>
          <w:szCs w:val="24"/>
        </w:rPr>
        <w:t>екстах художественного стиля речи. Сильные позиции в художественных текстах.Притча.</w:t>
      </w:r>
    </w:p>
    <w:p w:rsidR="0064297B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0A33" w:rsidRPr="007237B1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7237B1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6"/>
        <w:tblW w:w="9734" w:type="dxa"/>
        <w:tblLook w:val="04A0" w:firstRow="1" w:lastRow="0" w:firstColumn="1" w:lastColumn="0" w:noHBand="0" w:noVBand="1"/>
      </w:tblPr>
      <w:tblGrid>
        <w:gridCol w:w="666"/>
        <w:gridCol w:w="5963"/>
        <w:gridCol w:w="693"/>
        <w:gridCol w:w="2412"/>
      </w:tblGrid>
      <w:tr w:rsidR="0046121B" w:rsidRPr="00020A33" w:rsidTr="0046121B">
        <w:tc>
          <w:tcPr>
            <w:tcW w:w="666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12" w:type="dxa"/>
          </w:tcPr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</w:t>
            </w:r>
          </w:p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самостоятельной</w:t>
            </w:r>
          </w:p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02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проекта.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взаимодействиянациональных культур. Лексические заимствования в последнемдесятилетии. Употребление иноязычных слов как проблема культуры речи.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Нормы и варианты норм произношения отдельных грамматическихформ имен существительных, прилагательных и глаголов. Нормыударения в причастиях, деепричастиях, наречиях, в словоформах снепроизводными предлогами.Нормы употребления в речи однокоренных слов.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паронимов,синонимов, антонимов, лексических омонимов.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именприлагательных в формах сравнительной степени, в краткой форме.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разговорныепадежные формы причастий, деепричастий, наречий.</w:t>
            </w:r>
          </w:p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исправочниках. Проверочная работа по теме «Грамматические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словоупотребления»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 Речь. Речевая деятельность. Текст»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дедуктивные,рамочные, стержневые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текстов, их типы.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типа: рассуждение, доказательство, объяснение.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Качества речи. Беседа. Функции и виды бесед.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нрав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тему (по выбору учащихся)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стиля речи.Сильные позиции в художественных текстах. Притча.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54" w:rsidRP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B5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54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65B54">
        <w:rPr>
          <w:rFonts w:ascii="Times New Roman" w:eastAsia="Calibri" w:hAnsi="Times New Roman" w:cs="Times New Roman"/>
          <w:sz w:val="24"/>
          <w:szCs w:val="24"/>
        </w:rPr>
        <w:t>://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165B54">
        <w:rPr>
          <w:rFonts w:ascii="Times New Roman" w:eastAsia="Calibri" w:hAnsi="Times New Roman" w:cs="Times New Roman"/>
          <w:sz w:val="24"/>
          <w:szCs w:val="24"/>
        </w:rPr>
        <w:t>-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sectPr w:rsidR="00165B54" w:rsidRPr="00165B54" w:rsidSect="0046121B">
      <w:pgSz w:w="11906" w:h="16838"/>
      <w:pgMar w:top="1418" w:right="1133" w:bottom="152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7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6"/>
  </w:num>
  <w:num w:numId="22">
    <w:abstractNumId w:val="19"/>
  </w:num>
  <w:num w:numId="23">
    <w:abstractNumId w:val="0"/>
  </w:num>
  <w:num w:numId="24">
    <w:abstractNumId w:val="24"/>
  </w:num>
  <w:num w:numId="25">
    <w:abstractNumId w:val="1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0"/>
    <w:rsid w:val="00020A33"/>
    <w:rsid w:val="00165B54"/>
    <w:rsid w:val="00167014"/>
    <w:rsid w:val="00252802"/>
    <w:rsid w:val="002B2830"/>
    <w:rsid w:val="002D7DC7"/>
    <w:rsid w:val="003B6610"/>
    <w:rsid w:val="00443EB3"/>
    <w:rsid w:val="0046121B"/>
    <w:rsid w:val="005075A5"/>
    <w:rsid w:val="005610DF"/>
    <w:rsid w:val="0064297B"/>
    <w:rsid w:val="007B491D"/>
    <w:rsid w:val="008673AA"/>
    <w:rsid w:val="0088647C"/>
    <w:rsid w:val="00BF1DA5"/>
    <w:rsid w:val="00CD6632"/>
    <w:rsid w:val="00CE19DB"/>
    <w:rsid w:val="00D012E8"/>
    <w:rsid w:val="00D3670A"/>
    <w:rsid w:val="00E4029D"/>
    <w:rsid w:val="00E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3B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3B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3370-00FD-42D4-847E-A626AFED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7</cp:revision>
  <dcterms:created xsi:type="dcterms:W3CDTF">2022-07-09T07:25:00Z</dcterms:created>
  <dcterms:modified xsi:type="dcterms:W3CDTF">2022-09-18T16:16:00Z</dcterms:modified>
</cp:coreProperties>
</file>