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01" w:rsidRDefault="00555701" w:rsidP="00555701">
      <w:pPr>
        <w:tabs>
          <w:tab w:val="left" w:pos="6162"/>
        </w:tabs>
        <w:ind w:left="100"/>
        <w:rPr>
          <w:rFonts w:ascii="Trebuchet MS"/>
          <w:sz w:val="20"/>
        </w:rPr>
      </w:pPr>
    </w:p>
    <w:p w:rsidR="0054151C" w:rsidRDefault="00204590" w:rsidP="00723874">
      <w:pPr>
        <w:pStyle w:val="afe"/>
        <w:spacing w:before="68" w:after="0" w:line="360" w:lineRule="auto"/>
        <w:ind w:right="6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8711233"/>
            <wp:effectExtent l="19050" t="0" r="635" b="0"/>
            <wp:docPr id="2" name="Рисунок 2" descr="C:\Users\1\Desktop\ВУД 2021-2022\планы ВУД (понач,осн.средней)\для сайта\план ВУД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УД 2021-2022\планы ВУД (понач,осн.средней)\для сайта\план ВУД 10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1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1C" w:rsidRPr="00723874" w:rsidRDefault="0054151C" w:rsidP="00723874">
      <w:pPr>
        <w:pStyle w:val="afe"/>
        <w:spacing w:before="68" w:after="0" w:line="360" w:lineRule="auto"/>
        <w:ind w:right="684"/>
        <w:jc w:val="center"/>
        <w:rPr>
          <w:rFonts w:ascii="Times New Roman" w:hAnsi="Times New Roman"/>
          <w:b/>
          <w:sz w:val="24"/>
          <w:szCs w:val="24"/>
        </w:rPr>
      </w:pPr>
    </w:p>
    <w:p w:rsidR="007868D7" w:rsidRDefault="007868D7" w:rsidP="0080115C">
      <w:pPr>
        <w:pStyle w:val="Default"/>
        <w:contextualSpacing/>
        <w:rPr>
          <w:b/>
          <w:bCs/>
          <w:sz w:val="28"/>
          <w:szCs w:val="28"/>
        </w:rPr>
      </w:pPr>
    </w:p>
    <w:p w:rsidR="007868D7" w:rsidRPr="009C3D5E" w:rsidRDefault="009C3D5E" w:rsidP="0080115C">
      <w:pPr>
        <w:pStyle w:val="Default"/>
        <w:contextualSpacing/>
        <w:jc w:val="center"/>
        <w:rPr>
          <w:b/>
          <w:bCs/>
        </w:rPr>
      </w:pPr>
      <w:r w:rsidRPr="009C3D5E">
        <w:rPr>
          <w:b/>
          <w:bCs/>
        </w:rPr>
        <w:lastRenderedPageBreak/>
        <w:t>Пояснительная записка</w:t>
      </w:r>
    </w:p>
    <w:p w:rsidR="007868D7" w:rsidRPr="009C3D5E" w:rsidRDefault="007868D7" w:rsidP="0080115C">
      <w:pPr>
        <w:pStyle w:val="Default"/>
        <w:contextualSpacing/>
        <w:jc w:val="center"/>
        <w:rPr>
          <w:b/>
          <w:bCs/>
        </w:rPr>
      </w:pPr>
    </w:p>
    <w:p w:rsidR="00CA3703" w:rsidRDefault="00CA3703" w:rsidP="0080115C">
      <w:pPr>
        <w:pStyle w:val="Default"/>
        <w:ind w:firstLine="708"/>
        <w:contextualSpacing/>
        <w:jc w:val="both"/>
      </w:pPr>
      <w:r>
        <w:t xml:space="preserve">План внеурочной деятельности </w:t>
      </w:r>
      <w:r w:rsidR="00555701">
        <w:t>общеобразовательного учреждения « Ишненская средняя общеобразовательная школа»</w:t>
      </w:r>
      <w:r w:rsidR="00DF4BD0">
        <w:t xml:space="preserve"> </w:t>
      </w:r>
      <w:r>
        <w:t>обеспечивает введение в действие и реализацию требований Федерального государственного образовательного</w:t>
      </w:r>
      <w:r w:rsidR="00DF4BD0">
        <w:t xml:space="preserve"> стандарта </w:t>
      </w:r>
      <w:r>
        <w:t xml:space="preserve"> среднего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дел, а также возможность использования для проведения внеурочной деятельности каникулярного времени.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На внеурочную деятельность предусматривается из расчёта до </w:t>
      </w:r>
      <w:r w:rsidR="00555701">
        <w:t>10</w:t>
      </w:r>
      <w:r>
        <w:t xml:space="preserve"> часов в неделю, из них на инвариантную часть по направлениям развития личности – до 4 часов в неделю и до </w:t>
      </w:r>
      <w:r w:rsidR="00555701">
        <w:t>6</w:t>
      </w:r>
      <w:r>
        <w:t xml:space="preserve"> часа на вариативную часть.</w:t>
      </w:r>
    </w:p>
    <w:p w:rsidR="009C3D5E" w:rsidRDefault="009C3D5E" w:rsidP="0080115C">
      <w:pPr>
        <w:pStyle w:val="Default"/>
        <w:ind w:firstLine="708"/>
        <w:contextualSpacing/>
        <w:jc w:val="both"/>
      </w:pPr>
      <w:r>
        <w:t xml:space="preserve">Инвариантная часть плана внеурочной деятельности обеспечивает организацию жизни ученических сообществ в форме клубных встреч, участие обучающихся в делах классного ученического коллектива и в общих коллективных делах МОУ </w:t>
      </w:r>
      <w:r w:rsidR="00555701">
        <w:t>Ишненская СОШ</w:t>
      </w:r>
      <w:r w:rsidR="0044727E">
        <w:t xml:space="preserve"> по направлениям личности: спортивно-оздоровительное, духовно-нравственное, социальное, </w:t>
      </w:r>
      <w:r w:rsidR="00555701">
        <w:t>обще</w:t>
      </w:r>
      <w:r w:rsidR="0044727E">
        <w:t>интеллектуальное, общекультурное.</w:t>
      </w:r>
    </w:p>
    <w:p w:rsidR="0044727E" w:rsidRDefault="0044727E" w:rsidP="00555701">
      <w:pPr>
        <w:pStyle w:val="Default"/>
        <w:ind w:firstLine="708"/>
        <w:contextualSpacing/>
        <w:jc w:val="both"/>
      </w:pPr>
      <w:r>
        <w:t>План внеурочной деятельности является частью организационного раздела основной образовательной программы среднего общего образования</w:t>
      </w:r>
      <w:r w:rsidR="00555701">
        <w:t>.</w:t>
      </w:r>
      <w:r>
        <w:t xml:space="preserve"> </w:t>
      </w:r>
    </w:p>
    <w:p w:rsidR="0044727E" w:rsidRDefault="0044727E" w:rsidP="0080115C">
      <w:pPr>
        <w:pStyle w:val="Default"/>
        <w:ind w:firstLine="708"/>
        <w:contextualSpacing/>
        <w:jc w:val="both"/>
      </w:pPr>
      <w:r>
        <w:t xml:space="preserve">В соответствии с планом внеурочной деятельности в МОУ </w:t>
      </w:r>
      <w:r w:rsidR="00555701">
        <w:t>Ишненская СОШ</w:t>
      </w:r>
      <w:r>
        <w:t xml:space="preserve"> созданы условия для получения образования</w:t>
      </w:r>
      <w:r w:rsidR="00723874">
        <w:t xml:space="preserve"> </w:t>
      </w:r>
      <w:r>
        <w:t xml:space="preserve"> всеми обучающимися, в том числе одарёнными детьми, детьми с ограниченными возможностями здоровья и инвалидами.</w:t>
      </w:r>
    </w:p>
    <w:p w:rsidR="00033B70" w:rsidRDefault="009F7AAE" w:rsidP="0080115C">
      <w:pPr>
        <w:pStyle w:val="Default"/>
        <w:ind w:firstLine="708"/>
        <w:contextualSpacing/>
        <w:jc w:val="both"/>
      </w:pPr>
      <w:r>
        <w:t xml:space="preserve">Количество часов, выделяемых на внеурочную деятельность, за два года обучения на этапе средней школы составляет не более </w:t>
      </w:r>
      <w:r w:rsidR="00555701">
        <w:t>690</w:t>
      </w:r>
      <w:r>
        <w:t xml:space="preserve"> часов. Величину недельной нагрузки, реализуемой через внеурочную деятельность, определяют за пределами количества часов, отведённых на освоение обучающимися учебного плана.</w:t>
      </w:r>
    </w:p>
    <w:p w:rsidR="00033B70" w:rsidRDefault="0044727E" w:rsidP="00555701">
      <w:pPr>
        <w:pStyle w:val="Default"/>
        <w:ind w:firstLine="708"/>
        <w:contextualSpacing/>
        <w:jc w:val="both"/>
      </w:pPr>
      <w:r>
        <w:t>Для недопущения перегрузки обучающихся допускается перенос образовательно</w:t>
      </w:r>
      <w:r w:rsidR="009F7AAE">
        <w:t xml:space="preserve">й </w:t>
      </w:r>
      <w:r>
        <w:t>нагрузки, реализуемой через внеурочную деятельность</w:t>
      </w:r>
      <w:r w:rsidR="009F7AAE">
        <w:t>, на период каникул. Внеурочная деятельность в каникулярное время может реализовываться в рамках тематических образовательных программ  д</w:t>
      </w:r>
      <w:r w:rsidR="00555701">
        <w:t>етского оздоровительного лагеря,</w:t>
      </w:r>
      <w:r w:rsidR="009F7AAE">
        <w:t xml:space="preserve"> созданного на базе МОУ </w:t>
      </w:r>
      <w:r w:rsidR="00555701">
        <w:t>Ишненская СОШ.</w:t>
      </w:r>
    </w:p>
    <w:p w:rsidR="009F7AAE" w:rsidRDefault="009F7AAE" w:rsidP="0080115C">
      <w:pPr>
        <w:pStyle w:val="Default"/>
        <w:ind w:firstLine="708"/>
        <w:contextualSpacing/>
        <w:jc w:val="both"/>
      </w:pPr>
      <w:r>
        <w:t>Реализация плана в</w:t>
      </w:r>
      <w:r w:rsidR="00033B70">
        <w:t>неурочной деятельности предусмат</w:t>
      </w:r>
      <w:r>
        <w:t>ривает в течение года неравномерное распределение нагрузки. При подготовке коллективных дел (в рамках инициативы ученических сообществ) и воспитательных мероприятий – за 1-2 недели используется значительно больший объ</w:t>
      </w:r>
      <w:r w:rsidR="00033B70">
        <w:t>ём времени, чем в иные периоды (</w:t>
      </w:r>
      <w:r>
        <w:t>между образовательными событиями).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7749BD" w:rsidRPr="007749BD" w:rsidRDefault="007749BD" w:rsidP="0080115C">
      <w:pPr>
        <w:pStyle w:val="Default"/>
        <w:ind w:firstLine="708"/>
        <w:contextualSpacing/>
        <w:jc w:val="center"/>
        <w:rPr>
          <w:b/>
        </w:rPr>
      </w:pPr>
      <w:r w:rsidRPr="007749BD">
        <w:rPr>
          <w:b/>
        </w:rPr>
        <w:t>Цель внеурочной деятельности</w:t>
      </w:r>
      <w:r w:rsidR="0046577B">
        <w:rPr>
          <w:b/>
        </w:rPr>
        <w:t>: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7749BD" w:rsidRDefault="007749BD" w:rsidP="0080115C">
      <w:pPr>
        <w:pStyle w:val="Default"/>
        <w:ind w:firstLine="708"/>
        <w:contextualSpacing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Для достижения учащимися в свободное от учёбы время, необходимого для жизни в обществе социального опыта и формирования принимаемой обществом системы ценностей в МОУ </w:t>
      </w:r>
      <w:r w:rsidR="00555701">
        <w:rPr>
          <w:rFonts w:cstheme="minorBidi"/>
          <w:color w:val="auto"/>
        </w:rPr>
        <w:t>Ишненская СОШ</w:t>
      </w:r>
      <w:r>
        <w:rPr>
          <w:rFonts w:cstheme="minorBidi"/>
          <w:color w:val="auto"/>
        </w:rPr>
        <w:t xml:space="preserve">  реализуется следующая цель: </w:t>
      </w:r>
    </w:p>
    <w:p w:rsidR="007749BD" w:rsidRDefault="00555701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«</w:t>
      </w:r>
      <w:r w:rsidR="007749BD" w:rsidRPr="007749BD">
        <w:rPr>
          <w:rFonts w:cstheme="minorBidi"/>
          <w:b/>
          <w:color w:val="auto"/>
        </w:rPr>
        <w:t xml:space="preserve">Создание воспитывающей среды, обеспечивающей активизацию социальных, интеллектуальных интересов </w:t>
      </w:r>
      <w:r w:rsidR="007749BD">
        <w:rPr>
          <w:rFonts w:cstheme="minorBidi"/>
          <w:b/>
          <w:color w:val="auto"/>
        </w:rPr>
        <w:t xml:space="preserve">обучающихся </w:t>
      </w:r>
      <w:r w:rsidR="007749BD" w:rsidRPr="007749BD">
        <w:rPr>
          <w:rFonts w:cstheme="minorBidi"/>
          <w:b/>
          <w:color w:val="auto"/>
        </w:rPr>
        <w:t>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</w:t>
      </w:r>
      <w:r>
        <w:rPr>
          <w:rFonts w:cstheme="minorBidi"/>
          <w:b/>
          <w:color w:val="auto"/>
        </w:rPr>
        <w:t>зацию добровольческих инициатив».</w:t>
      </w:r>
      <w:r w:rsidR="007749BD" w:rsidRPr="007749BD">
        <w:rPr>
          <w:rFonts w:cstheme="minorBidi"/>
          <w:b/>
          <w:color w:val="auto"/>
        </w:rPr>
        <w:t xml:space="preserve"> </w:t>
      </w: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7749BD" w:rsidRPr="007749BD" w:rsidRDefault="007749BD" w:rsidP="0080115C">
      <w:pPr>
        <w:pStyle w:val="Default"/>
        <w:ind w:firstLine="708"/>
        <w:contextualSpacing/>
        <w:jc w:val="both"/>
        <w:rPr>
          <w:rFonts w:cstheme="minorBidi"/>
          <w:b/>
          <w:color w:val="auto"/>
        </w:rPr>
      </w:pPr>
    </w:p>
    <w:p w:rsidR="0054151C" w:rsidRDefault="0054151C" w:rsidP="0080115C">
      <w:pPr>
        <w:pStyle w:val="Default"/>
        <w:contextualSpacing/>
        <w:jc w:val="center"/>
        <w:rPr>
          <w:rFonts w:cstheme="minorBidi"/>
          <w:b/>
          <w:color w:val="auto"/>
        </w:rPr>
      </w:pPr>
    </w:p>
    <w:p w:rsidR="007749BD" w:rsidRDefault="007749BD" w:rsidP="0080115C">
      <w:pPr>
        <w:pStyle w:val="Default"/>
        <w:contextualSpacing/>
        <w:jc w:val="center"/>
        <w:rPr>
          <w:rFonts w:cstheme="minorBidi"/>
          <w:color w:val="auto"/>
        </w:rPr>
      </w:pPr>
      <w:r w:rsidRPr="007749BD">
        <w:rPr>
          <w:rFonts w:cstheme="minorBidi"/>
          <w:b/>
          <w:color w:val="auto"/>
        </w:rPr>
        <w:t>Задачи программы внеурочной деятельности</w:t>
      </w:r>
      <w:r w:rsidR="0046577B">
        <w:rPr>
          <w:rFonts w:cstheme="minorBidi"/>
          <w:b/>
          <w:color w:val="auto"/>
        </w:rPr>
        <w:t>:</w:t>
      </w:r>
    </w:p>
    <w:p w:rsidR="007749BD" w:rsidRDefault="007749BD" w:rsidP="0080115C">
      <w:pPr>
        <w:pStyle w:val="Default"/>
        <w:contextualSpacing/>
        <w:jc w:val="center"/>
        <w:rPr>
          <w:rFonts w:cstheme="minorBidi"/>
          <w:color w:val="auto"/>
        </w:rPr>
      </w:pP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организовать общественно-полезную и досуговую деятельность учащихся совместно с коллективами учреждений дополнительного образования, учреждений культуры, физкультуры и спорта, общественными объединениями, семьями учащихся;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выявить интересы, склонности, способности, возможности учащихся к различным видам деятельности;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оказать помощь в поисках «себя»;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создать условия для индивидуального развития в избранной сфере внеурочной деятельности;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развить опыт творческой деятельности, творческих способностей;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создать условия для реализации приобретенных знаний, умений и навыков;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развить опыт неформального общения, взаимодействия, сотрудничества; </w:t>
      </w:r>
    </w:p>
    <w:p w:rsid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расширить рамки общения с социумом; </w:t>
      </w:r>
    </w:p>
    <w:p w:rsidR="007749BD" w:rsidRPr="007749BD" w:rsidRDefault="007749BD" w:rsidP="0080115C">
      <w:pPr>
        <w:pStyle w:val="Default"/>
        <w:numPr>
          <w:ilvl w:val="0"/>
          <w:numId w:val="3"/>
        </w:numPr>
        <w:contextualSpacing/>
        <w:jc w:val="both"/>
        <w:rPr>
          <w:rFonts w:cstheme="minorBidi"/>
          <w:color w:val="auto"/>
        </w:rPr>
      </w:pPr>
      <w:r w:rsidRPr="007749BD">
        <w:rPr>
          <w:rFonts w:cstheme="minorBidi"/>
          <w:color w:val="auto"/>
        </w:rPr>
        <w:t xml:space="preserve"> воспитывать культуру досуговой деятельности учащихся. </w:t>
      </w:r>
    </w:p>
    <w:p w:rsidR="007749BD" w:rsidRDefault="007749BD" w:rsidP="0080115C">
      <w:pPr>
        <w:pStyle w:val="Default"/>
        <w:ind w:firstLine="708"/>
        <w:contextualSpacing/>
        <w:jc w:val="both"/>
      </w:pPr>
    </w:p>
    <w:p w:rsidR="0046577B" w:rsidRDefault="0046577B" w:rsidP="0080115C">
      <w:pPr>
        <w:pStyle w:val="a3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2D5C">
        <w:rPr>
          <w:rFonts w:ascii="Times New Roman" w:hAnsi="Times New Roman"/>
          <w:b/>
          <w:sz w:val="24"/>
          <w:szCs w:val="24"/>
        </w:rPr>
        <w:t>Нормативная основа внеурочной деятельности:</w:t>
      </w:r>
    </w:p>
    <w:p w:rsidR="0046577B" w:rsidRDefault="0046577B" w:rsidP="0080115C">
      <w:pPr>
        <w:pStyle w:val="a3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577B" w:rsidRPr="0059798B" w:rsidRDefault="0046577B" w:rsidP="0080115C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внеурочной деятельности МОУ </w:t>
      </w:r>
      <w:r w:rsidR="00555701">
        <w:rPr>
          <w:rFonts w:ascii="Times New Roman" w:hAnsi="Times New Roman"/>
          <w:color w:val="000000"/>
          <w:sz w:val="24"/>
          <w:szCs w:val="24"/>
        </w:rPr>
        <w:t>Ишненская СОШ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55701">
        <w:rPr>
          <w:rFonts w:ascii="Times New Roman" w:hAnsi="Times New Roman"/>
          <w:color w:val="000000"/>
          <w:sz w:val="24"/>
          <w:szCs w:val="24"/>
        </w:rPr>
        <w:t>разработан</w:t>
      </w:r>
      <w:r w:rsidRPr="0059798B">
        <w:rPr>
          <w:rFonts w:ascii="Times New Roman" w:hAnsi="Times New Roman"/>
          <w:color w:val="000000"/>
          <w:sz w:val="24"/>
          <w:szCs w:val="24"/>
        </w:rPr>
        <w:t xml:space="preserve">  в соответствии с требованиями документов:</w:t>
      </w:r>
    </w:p>
    <w:p w:rsidR="0046577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  «Об образовании в Российской Федерации» от 29.12.2012г  № 273-ФЗ (с изменениями и дополнениями)</w:t>
      </w:r>
    </w:p>
    <w:p w:rsidR="0046577B" w:rsidRPr="00EC2E3C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EC2E3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 </w:t>
      </w:r>
      <w:r w:rsidRPr="00EC2E3C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РФ № 413 от 17.05.2012г с изменениями </w:t>
      </w:r>
      <w:r w:rsidRPr="00EC2E3C">
        <w:rPr>
          <w:rFonts w:ascii="Times New Roman" w:hAnsi="Times New Roman" w:cs="Times New Roman"/>
          <w:sz w:val="24"/>
        </w:rPr>
        <w:t xml:space="preserve">от 29.12.2014 </w:t>
      </w:r>
      <w:hyperlink r:id="rId9" w:history="1">
        <w:r w:rsidRPr="00EC2E3C">
          <w:rPr>
            <w:rFonts w:ascii="Times New Roman" w:hAnsi="Times New Roman" w:cs="Times New Roman"/>
            <w:sz w:val="24"/>
          </w:rPr>
          <w:t>N 1645</w:t>
        </w:r>
      </w:hyperlink>
      <w:r w:rsidRPr="00EC2E3C">
        <w:rPr>
          <w:rFonts w:ascii="Times New Roman" w:hAnsi="Times New Roman" w:cs="Times New Roman"/>
          <w:sz w:val="24"/>
        </w:rPr>
        <w:t xml:space="preserve">, от 31.12.2015 </w:t>
      </w:r>
      <w:hyperlink r:id="rId10" w:history="1">
        <w:r w:rsidRPr="00EC2E3C">
          <w:rPr>
            <w:rFonts w:ascii="Times New Roman" w:hAnsi="Times New Roman" w:cs="Times New Roman"/>
            <w:sz w:val="24"/>
          </w:rPr>
          <w:t>N 1578</w:t>
        </w:r>
      </w:hyperlink>
      <w:r w:rsidRPr="00EC2E3C">
        <w:rPr>
          <w:rFonts w:ascii="Times New Roman" w:hAnsi="Times New Roman" w:cs="Times New Roman"/>
          <w:sz w:val="28"/>
          <w:szCs w:val="24"/>
        </w:rPr>
        <w:t>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</w:t>
      </w:r>
      <w:r w:rsidRPr="0059798B">
        <w:rPr>
          <w:rFonts w:ascii="Times New Roman" w:hAnsi="Times New Roman" w:cs="Times New Roman"/>
          <w:color w:val="000000"/>
          <w:sz w:val="24"/>
          <w:szCs w:val="24"/>
        </w:rPr>
        <w:t xml:space="preserve">го общего образования, одобренная  </w:t>
      </w:r>
      <w:r w:rsidRPr="0059798B">
        <w:rPr>
          <w:rFonts w:ascii="Times New Roman" w:hAnsi="Times New Roman" w:cs="Times New Roman"/>
          <w:sz w:val="24"/>
          <w:szCs w:val="24"/>
          <w:lang w:eastAsia="ru-RU"/>
        </w:rPr>
        <w:t>Федеральным учебно-методическим объединением по общему обра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зованию (Протокол заседания от 26</w:t>
      </w:r>
      <w:r w:rsidRPr="0059798B">
        <w:rPr>
          <w:rFonts w:ascii="Times New Roman" w:hAnsi="Times New Roman" w:cs="Times New Roman"/>
          <w:sz w:val="24"/>
          <w:szCs w:val="24"/>
          <w:lang w:eastAsia="ru-RU"/>
        </w:rPr>
        <w:t xml:space="preserve">  2015 г. № 1/15);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от 30.08.2013 № 1015 </w:t>
      </w:r>
      <w:r w:rsidRPr="0059798B">
        <w:rPr>
          <w:rFonts w:ascii="Times New Roman" w:hAnsi="Times New Roman" w:cs="Times New Roman"/>
          <w:sz w:val="24"/>
          <w:szCs w:val="24"/>
        </w:rPr>
        <w:t>(в ред. приказа Минобрнауки РФ от 28 мая 2014 г. № 598)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Всеобщая декларация прав человека;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Конвенция о правах ребенка; 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Конституция РФ (от 12.12.1993);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дополнениями и изменениями</w:t>
      </w: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);</w:t>
      </w:r>
    </w:p>
    <w:p w:rsidR="0046577B" w:rsidRPr="0059798B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в сфере общего образования</w:t>
      </w:r>
    </w:p>
    <w:p w:rsidR="0046577B" w:rsidRPr="00367322" w:rsidRDefault="0046577B" w:rsidP="0080115C">
      <w:pPr>
        <w:pStyle w:val="a5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979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 муниципального общеобразовательного учреждения «</w:t>
      </w:r>
      <w:r w:rsidR="00477E82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Ишненская средняя</w:t>
      </w:r>
      <w:r w:rsidRPr="0059798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 школа» </w:t>
      </w:r>
      <w:r w:rsidRPr="00FC2EFB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особенностями </w:t>
      </w:r>
      <w:r w:rsidR="00477E82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C2EFB">
        <w:rPr>
          <w:rFonts w:ascii="Times New Roman" w:hAnsi="Times New Roman" w:cs="Times New Roman"/>
          <w:color w:val="000000"/>
          <w:sz w:val="24"/>
          <w:szCs w:val="24"/>
        </w:rPr>
        <w:t>, образовательными потребностями и запросами обучающихся, концептуальными положениями УМК</w:t>
      </w:r>
      <w:r w:rsidRPr="00FC2EFB">
        <w:rPr>
          <w:rFonts w:ascii="Times New Roman" w:hAnsi="Times New Roman" w:cs="Times New Roman"/>
          <w:bCs/>
          <w:sz w:val="24"/>
          <w:szCs w:val="24"/>
        </w:rPr>
        <w:t xml:space="preserve"> МОУ </w:t>
      </w:r>
      <w:r w:rsidR="00477E82">
        <w:rPr>
          <w:rFonts w:ascii="Times New Roman" w:hAnsi="Times New Roman" w:cs="Times New Roman"/>
          <w:sz w:val="24"/>
          <w:szCs w:val="24"/>
        </w:rPr>
        <w:t>Ишненская СОШ</w:t>
      </w:r>
      <w:r w:rsidRPr="00FC2EFB">
        <w:rPr>
          <w:rFonts w:ascii="Times New Roman" w:eastAsia="NewtonCSanPin-Regular" w:hAnsi="Times New Roman" w:cs="Times New Roman"/>
          <w:bCs/>
          <w:color w:val="000000"/>
          <w:sz w:val="24"/>
          <w:szCs w:val="24"/>
        </w:rPr>
        <w:t xml:space="preserve">. </w:t>
      </w:r>
    </w:p>
    <w:p w:rsidR="00367322" w:rsidRPr="00FC2EFB" w:rsidRDefault="00367322" w:rsidP="0080115C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6577B" w:rsidRDefault="0046577B" w:rsidP="0080115C">
      <w:pPr>
        <w:contextualSpacing/>
      </w:pPr>
    </w:p>
    <w:p w:rsidR="0046577B" w:rsidRDefault="0046577B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2F3D12" w:rsidRPr="00F87FB5" w:rsidRDefault="002F3D12" w:rsidP="002F3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Особенности организации внеурочной деятельности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на уровне среднего общего образования модифицируется в соответствии с профилями:</w:t>
      </w: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социально-гуманитарным, естественно-научным,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предполагают курсы внеурочной деятельности по выбору учащихся, воспитательные мероприятия,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защиту индивидуальных или групповых проектов,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выезды на природу, туристические походы, поездки,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музеев с обязательным коллективным обсуждением).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воспитательных мероприятий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мероприятия нацелены на формирование мотивов и ценностей учащегося в таких сферах, как:</w:t>
      </w: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России как к Родине (Отечеству) (включает подготовку к патриотическому служению);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отношения учащихся с окружающими людьми (включает подготовку к общению со сверстниками, старшими и младшими);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семье и родителям (включает подготовку личности к семейной жизни);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закону, государству и к гражданскому обществу (включает подготовку личности к общественной жизни);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– трудовые и социально-экономические отношения (включает подготовку личности к трудовой деятельности).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(в масштабе ученического класса, классов одной параллели) предусматривается вовлечение в активной роли максимально большего числа учащихся.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51C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51C" w:rsidRPr="00F87FB5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Организация жизни ученических сообществ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Организация жизни ученических сообществ происходит: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благополучия обучающихся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 школы предполагает совокупность мер по рационализациии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здоровьесберегающих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благополучия обучающихся в жизни школы предполагает формирование у обучающихся компетенций: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выбору оптимального режима дня с учетом учебных и внеучебных нагрузок;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723874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54151C" w:rsidRPr="00F87FB5" w:rsidRDefault="0054151C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учету рисков для здоровья (неадекватных нагрузок и использования биостимуляторов);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реализующих потребность в двигательной активности и ежедневных занятиях физической культурой;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внеучебной нагрузке).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</w:p>
    <w:p w:rsidR="0046577B" w:rsidRDefault="0046577B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54151C" w:rsidRDefault="0054151C" w:rsidP="0080115C">
      <w:pPr>
        <w:pStyle w:val="Default"/>
        <w:ind w:firstLine="708"/>
        <w:contextualSpacing/>
        <w:jc w:val="both"/>
      </w:pPr>
    </w:p>
    <w:p w:rsidR="00CA3703" w:rsidRDefault="00CA3703" w:rsidP="0080115C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Направления внеурочной деятельности</w:t>
      </w:r>
      <w:r w:rsidR="00407FE3">
        <w:rPr>
          <w:b/>
          <w:bCs/>
        </w:rPr>
        <w:t>:</w:t>
      </w:r>
    </w:p>
    <w:p w:rsidR="00407FE3" w:rsidRDefault="00407FE3" w:rsidP="0080115C">
      <w:pPr>
        <w:pStyle w:val="Default"/>
        <w:contextualSpacing/>
      </w:pPr>
    </w:p>
    <w:p w:rsidR="00CA3703" w:rsidRDefault="00CA3703" w:rsidP="0080115C">
      <w:pPr>
        <w:pStyle w:val="Default"/>
        <w:contextualSpacing/>
        <w:rPr>
          <w:color w:val="auto"/>
        </w:rPr>
      </w:pPr>
      <w:r>
        <w:rPr>
          <w:color w:val="auto"/>
        </w:rPr>
        <w:t xml:space="preserve">Внеурочная деятельность организуется по следующим направлениям: </w:t>
      </w:r>
    </w:p>
    <w:p w:rsidR="00407FE3" w:rsidRDefault="00407FE3" w:rsidP="0080115C">
      <w:pPr>
        <w:pStyle w:val="Default"/>
        <w:contextualSpacing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540"/>
        <w:gridCol w:w="3502"/>
        <w:gridCol w:w="5863"/>
      </w:tblGrid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Направления развития личности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Предполагаемые результаты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Спортивно-оздоровительное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Духовно-нравственное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Социальное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Формирование таких ценностей как познание, истина, целеустремленность, социально - значимой деятельности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Интеллектуальное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Обогащение запаса учащих</w:t>
            </w:r>
            <w:r w:rsidR="00E03A9F">
              <w:rPr>
                <w:rFonts w:cstheme="minorBidi"/>
                <w:color w:val="auto"/>
              </w:rPr>
              <w:t>ся языковыми знаниями, способствующие</w:t>
            </w:r>
            <w:r>
              <w:rPr>
                <w:rFonts w:cstheme="minorBidi"/>
                <w:color w:val="auto"/>
              </w:rPr>
              <w:t xml:space="preserve"> формированию мировоззрения, эрудиции, кругозора.</w:t>
            </w:r>
          </w:p>
        </w:tc>
      </w:tr>
      <w:tr w:rsidR="00407FE3" w:rsidTr="00407FE3">
        <w:tc>
          <w:tcPr>
            <w:tcW w:w="392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544" w:type="dxa"/>
          </w:tcPr>
          <w:p w:rsidR="00407FE3" w:rsidRDefault="00407FE3" w:rsidP="0080115C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Общекультурное</w:t>
            </w:r>
          </w:p>
        </w:tc>
        <w:tc>
          <w:tcPr>
            <w:tcW w:w="5969" w:type="dxa"/>
          </w:tcPr>
          <w:p w:rsidR="00407FE3" w:rsidRDefault="00407FE3" w:rsidP="0080115C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rFonts w:cstheme="minorBidi"/>
                <w:color w:val="auto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</w:tbl>
    <w:p w:rsidR="00723874" w:rsidRDefault="00723874" w:rsidP="00723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874" w:rsidRPr="00F87FB5" w:rsidRDefault="00723874" w:rsidP="00723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организации внеурочной деятельности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учебного года в 10-х классах составляет 3</w:t>
      </w:r>
      <w:r w:rsidR="00A6505E"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недель. На курсы внеурочной деятельности по выбору учащихся еженедельно расходуется </w:t>
      </w:r>
      <w:r w:rsidR="00A6505E"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65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:rsidR="00723874" w:rsidRPr="00F87FB5" w:rsidRDefault="00723874" w:rsidP="0072387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Обязательная нагрузка внеурочной деятельности учащихся составляет 10 часов. </w:t>
      </w:r>
    </w:p>
    <w:p w:rsidR="00723874" w:rsidRPr="00F87FB5" w:rsidRDefault="00723874" w:rsidP="00723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недопущения перегрузки учащихся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 д.).</w:t>
      </w: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3874" w:rsidRPr="00F87FB5" w:rsidRDefault="00723874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внеурочной деятельности комплектование групп учащихся предусматривает следующие условия:</w:t>
      </w:r>
    </w:p>
    <w:p w:rsidR="00723874" w:rsidRPr="00F87FB5" w:rsidRDefault="00A6505E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23874"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 групп одновозрастной, с учетом психофизиологических особенностей развития детей и их интересов;</w:t>
      </w:r>
    </w:p>
    <w:p w:rsidR="00723874" w:rsidRDefault="00A6505E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23874"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групп осуществляется на основе заявлений родителей (законных представителей) учащихся. </w:t>
      </w: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Default="0054151C" w:rsidP="00A650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151C" w:rsidRPr="00F87FB5" w:rsidRDefault="0054151C" w:rsidP="00A650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Планируемые результаты освоения программ внеурочной деятельности</w:t>
      </w:r>
      <w:r w:rsidRPr="00F87FB5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 xml:space="preserve"> 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возможностей школы и по результатам изучения социального запроса (анкетирования) родителей (законных представителей) и учащихся, в каждом направлении были определены формы реализации внеурочной деятельности.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 реализации программ внеурочной деятельности</w:t>
      </w:r>
      <w:r w:rsidRPr="00F87FB5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предполагают комплексный подход к оценке результатов образования, позволяющий вести оценку достижения учащимися всех трёх групп результатов образования: личностных, метапредметных и предметных.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Первый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приобретение социальных знаний, понимание социальной реальности и повседневной жизни.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Третий уровень результатов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Воспитательный результат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непосредственный итог участия школьника в деятельности, духовно - нравственные приобретения ребёнка, благодаря его участию в любом виде деятельности (приобрёл нечто, как ценность, опыт самостоятельного действия).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Эффект внеурочной деятельности </w:t>
      </w:r>
      <w:r w:rsidRPr="00F87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это последствие результата, то, к чему привело достижение результата: приобретённые знания, пережитые чувства и отношения, совершённые действия развили ребёнка как личность, способствовали развитию его компетентности, идентичности, самореализации личности ребенка.</w:t>
      </w:r>
    </w:p>
    <w:p w:rsidR="002F3D12" w:rsidRPr="00F87FB5" w:rsidRDefault="002F3D12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FB5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Промежуточная аттестация внеурочной деятельности</w:t>
      </w:r>
      <w:r w:rsidRPr="00F87FB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проводится в следующих формах:</w:t>
      </w:r>
    </w:p>
    <w:p w:rsidR="002F3D12" w:rsidRPr="00F87FB5" w:rsidRDefault="00A6505E" w:rsidP="002F3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F3D12"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занятий, в рамках жизни ученических сообществ, проводится в следующих формах: дискуссии, выставки, массовые формы организации совместной деятельности учащихся. </w:t>
      </w:r>
    </w:p>
    <w:p w:rsidR="002F3D12" w:rsidRPr="00F87FB5" w:rsidRDefault="00A6505E" w:rsidP="002F3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="002F3D12" w:rsidRPr="00F87FB5">
        <w:rPr>
          <w:rFonts w:ascii="Times New Roman" w:eastAsia="Times New Roman" w:hAnsi="Times New Roman"/>
          <w:sz w:val="24"/>
          <w:szCs w:val="24"/>
          <w:lang w:eastAsia="ru-RU"/>
        </w:rPr>
        <w:t xml:space="preserve">ромежуточная аттестация в рамках классного руководства проводится в рамках участия в делах классного ученического коллектива и в общешкольных мероприятиях: праздниках, концертах, конкурсах, соревнованиях. </w:t>
      </w:r>
    </w:p>
    <w:p w:rsidR="00DE334E" w:rsidRDefault="00DE334E" w:rsidP="00DE334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Максимальный результат проектируется согласно описанию компетентностей образа выпускника среднего общего образования. </w:t>
      </w:r>
    </w:p>
    <w:p w:rsidR="002F3D12" w:rsidRPr="00C55C58" w:rsidRDefault="002F3D12" w:rsidP="002F3D12">
      <w:pPr>
        <w:pStyle w:val="Heading1"/>
        <w:ind w:left="0" w:right="1375"/>
        <w:jc w:val="left"/>
      </w:pPr>
    </w:p>
    <w:p w:rsidR="00CA3703" w:rsidRDefault="00CA3703" w:rsidP="00A6505E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родителей. </w:t>
      </w: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Default"/>
        <w:contextualSpacing/>
        <w:jc w:val="both"/>
        <w:rPr>
          <w:color w:val="auto"/>
        </w:rPr>
      </w:pPr>
    </w:p>
    <w:p w:rsidR="00CA3703" w:rsidRDefault="00CA3703" w:rsidP="0080115C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lastRenderedPageBreak/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достижение обучающимися функциональной грамотности;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формирование познавательной мотивации, определяющей постановку образования;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успешное овладение учебного предмета учебного плана;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предварительное профессиональное самоопределение;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высокие коммуникативные навыки; </w:t>
      </w:r>
    </w:p>
    <w:p w:rsidR="00CA3703" w:rsidRDefault="00CA3703" w:rsidP="0080115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- сохранность физического здоровья учащихся в условиях школы. </w:t>
      </w:r>
    </w:p>
    <w:p w:rsidR="00A6505E" w:rsidRDefault="00A6505E" w:rsidP="0080115C">
      <w:pPr>
        <w:pStyle w:val="Default"/>
        <w:contextualSpacing/>
        <w:jc w:val="both"/>
        <w:rPr>
          <w:color w:val="auto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Default="0054151C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Pr="0054151C" w:rsidRDefault="0054151C" w:rsidP="0054151C"/>
    <w:p w:rsidR="0054151C" w:rsidRDefault="0054151C" w:rsidP="0054151C">
      <w:pPr>
        <w:pStyle w:val="3"/>
        <w:spacing w:before="0" w:line="0" w:lineRule="atLeast"/>
        <w:ind w:firstLine="0"/>
        <w:rPr>
          <w:rStyle w:val="a4"/>
          <w:rFonts w:ascii="Times New Roman" w:eastAsiaTheme="minorEastAsia" w:hAnsi="Times New Roman" w:cs="Times New Roman"/>
          <w:color w:val="000000"/>
          <w:szCs w:val="28"/>
        </w:rPr>
      </w:pPr>
    </w:p>
    <w:p w:rsidR="0054151C" w:rsidRPr="0054151C" w:rsidRDefault="0054151C" w:rsidP="0054151C"/>
    <w:p w:rsidR="00A6505E" w:rsidRDefault="00A6505E" w:rsidP="00A6505E">
      <w:pPr>
        <w:pStyle w:val="3"/>
        <w:spacing w:before="0" w:line="0" w:lineRule="atLeast"/>
        <w:ind w:left="360"/>
        <w:jc w:val="center"/>
        <w:rPr>
          <w:rStyle w:val="a4"/>
          <w:rFonts w:ascii="Times New Roman" w:eastAsiaTheme="minorEastAsia" w:hAnsi="Times New Roman" w:cs="Times New Roman"/>
          <w:b/>
          <w:color w:val="000000"/>
          <w:szCs w:val="28"/>
        </w:rPr>
      </w:pP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lastRenderedPageBreak/>
        <w:t>Сетка в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неурочн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ой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 xml:space="preserve">   деятельност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и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 xml:space="preserve"> на 20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20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-20</w:t>
      </w:r>
      <w:r>
        <w:rPr>
          <w:rStyle w:val="a4"/>
          <w:rFonts w:ascii="Times New Roman" w:eastAsiaTheme="minorEastAsia" w:hAnsi="Times New Roman" w:cs="Times New Roman"/>
          <w:color w:val="000000"/>
          <w:szCs w:val="28"/>
        </w:rPr>
        <w:t>21</w:t>
      </w:r>
      <w:r w:rsidRPr="00970AE6">
        <w:rPr>
          <w:rStyle w:val="a4"/>
          <w:rFonts w:ascii="Times New Roman" w:eastAsiaTheme="minorEastAsia" w:hAnsi="Times New Roman" w:cs="Times New Roman"/>
          <w:color w:val="000000"/>
          <w:szCs w:val="28"/>
        </w:rPr>
        <w:t>учебный год</w:t>
      </w:r>
    </w:p>
    <w:p w:rsidR="00A6505E" w:rsidRPr="0054151C" w:rsidRDefault="00A6505E" w:rsidP="00A6505E">
      <w:pPr>
        <w:jc w:val="center"/>
        <w:rPr>
          <w:b/>
          <w:highlight w:val="yellow"/>
          <w:u w:val="single"/>
        </w:rPr>
      </w:pPr>
      <w:r w:rsidRPr="0054151C">
        <w:rPr>
          <w:rStyle w:val="a4"/>
          <w:rFonts w:ascii="Times New Roman" w:eastAsiaTheme="minorEastAsia" w:hAnsi="Times New Roman"/>
          <w:b w:val="0"/>
          <w:color w:val="000000"/>
          <w:sz w:val="28"/>
          <w:szCs w:val="28"/>
        </w:rPr>
        <w:t>10 - 11 класс</w:t>
      </w:r>
      <w:r w:rsidR="0054151C">
        <w:rPr>
          <w:rStyle w:val="a4"/>
          <w:rFonts w:ascii="Times New Roman" w:eastAsiaTheme="minorEastAsia" w:hAnsi="Times New Roman"/>
          <w:b w:val="0"/>
          <w:color w:val="000000"/>
          <w:sz w:val="28"/>
          <w:szCs w:val="28"/>
        </w:rPr>
        <w:t>ов</w:t>
      </w:r>
    </w:p>
    <w:p w:rsidR="00A6505E" w:rsidRPr="008F0F57" w:rsidRDefault="00A6505E" w:rsidP="00A6505E">
      <w:pPr>
        <w:jc w:val="center"/>
        <w:rPr>
          <w:b/>
          <w:u w:val="single"/>
        </w:rPr>
      </w:pPr>
      <w:r w:rsidRPr="0054151C">
        <w:rPr>
          <w:b/>
          <w:u w:val="single"/>
        </w:rPr>
        <w:t>10 класс</w:t>
      </w: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left="37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A0E93" w:rsidRPr="00A6505E" w:rsidTr="006705B5">
        <w:trPr>
          <w:trHeight w:val="136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«Занимательные вопросы  органической химии»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Маркиданова Т.А.</w:t>
            </w:r>
          </w:p>
        </w:tc>
      </w:tr>
      <w:tr w:rsidR="00A6505E" w:rsidRPr="00A6505E" w:rsidTr="00FA0E93">
        <w:trPr>
          <w:trHeight w:val="828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505E" w:rsidRPr="00A6505E" w:rsidRDefault="00A6505E" w:rsidP="00FA0E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FA0E93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FA0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Хомченко О.В.</w:t>
            </w:r>
          </w:p>
        </w:tc>
      </w:tr>
      <w:tr w:rsidR="00FA0E93" w:rsidRPr="00A6505E" w:rsidTr="00A151A6">
        <w:trPr>
          <w:trHeight w:val="123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0E93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A65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«Информатика в задачах»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Топчий А.Н.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</w:tc>
      </w:tr>
    </w:tbl>
    <w:p w:rsidR="00A6505E" w:rsidRPr="00A6505E" w:rsidRDefault="00A6505E" w:rsidP="0054151C">
      <w:pPr>
        <w:tabs>
          <w:tab w:val="left" w:pos="980"/>
        </w:tabs>
        <w:jc w:val="center"/>
        <w:rPr>
          <w:rFonts w:ascii="Times New Roman" w:eastAsia="Symbol" w:hAnsi="Times New Roman"/>
          <w:b/>
          <w:sz w:val="24"/>
          <w:szCs w:val="24"/>
          <w:u w:val="single"/>
        </w:rPr>
      </w:pPr>
      <w:r w:rsidRPr="00A6505E">
        <w:rPr>
          <w:rFonts w:ascii="Times New Roman" w:eastAsia="Symbol" w:hAnsi="Times New Roman"/>
          <w:b/>
          <w:sz w:val="24"/>
          <w:szCs w:val="24"/>
          <w:u w:val="single"/>
        </w:rPr>
        <w:t>11 класс</w:t>
      </w:r>
    </w:p>
    <w:tbl>
      <w:tblPr>
        <w:tblW w:w="1075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64"/>
        <w:gridCol w:w="1237"/>
        <w:gridCol w:w="4252"/>
        <w:gridCol w:w="2802"/>
      </w:tblGrid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ind w:left="37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A0E93" w:rsidRPr="00A6505E" w:rsidTr="002A2DEC">
        <w:trPr>
          <w:trHeight w:val="1367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FA0E93" w:rsidRPr="00A6505E" w:rsidRDefault="00FA0E93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FA0E93">
            <w:pPr>
              <w:ind w:firstLine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выбор</w:t>
            </w: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0E93" w:rsidRPr="00A6505E" w:rsidRDefault="00FA0E93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Кашина М.Д.</w:t>
            </w:r>
          </w:p>
        </w:tc>
      </w:tr>
      <w:tr w:rsidR="00A6505E" w:rsidRPr="00A6505E" w:rsidTr="00847543">
        <w:trPr>
          <w:trHeight w:val="1840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7543" w:rsidRDefault="00847543" w:rsidP="00847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05E" w:rsidRPr="00A6505E" w:rsidRDefault="00FA0E9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6505E" w:rsidRPr="00A6505E" w:rsidRDefault="00A6505E" w:rsidP="00A65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7543" w:rsidRDefault="00847543" w:rsidP="00847543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Функциональная граммотность</w:t>
            </w:r>
          </w:p>
          <w:p w:rsidR="00A6505E" w:rsidRDefault="00847543" w:rsidP="00847543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6505E" w:rsidRPr="00A6505E">
              <w:rPr>
                <w:rFonts w:ascii="Times New Roman" w:hAnsi="Times New Roman"/>
                <w:b/>
                <w:sz w:val="24"/>
                <w:szCs w:val="24"/>
              </w:rPr>
              <w:t>«Методы решения физических задач»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47543" w:rsidRPr="00A6505E" w:rsidRDefault="00847543" w:rsidP="00847543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543" w:rsidRDefault="00847543" w:rsidP="00847543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Функциональная граммотность</w:t>
            </w:r>
          </w:p>
          <w:p w:rsidR="00A6505E" w:rsidRPr="00A6505E" w:rsidRDefault="00847543" w:rsidP="00847543">
            <w:pPr>
              <w:spacing w:after="0"/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05E" w:rsidRPr="00A6505E">
              <w:rPr>
                <w:rFonts w:ascii="Times New Roman" w:hAnsi="Times New Roman"/>
                <w:b/>
                <w:sz w:val="24"/>
                <w:szCs w:val="24"/>
              </w:rPr>
              <w:t>«Математика после уроков»»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05E" w:rsidRP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Хомченко О.В.</w:t>
            </w:r>
          </w:p>
          <w:p w:rsidR="00A6505E" w:rsidRDefault="00A6505E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505E" w:rsidRPr="00A6505E" w:rsidRDefault="0084754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Дзык Т.Р.</w:t>
            </w:r>
          </w:p>
        </w:tc>
      </w:tr>
      <w:tr w:rsidR="00A6505E" w:rsidRPr="00A6505E" w:rsidTr="00847543">
        <w:trPr>
          <w:trHeight w:val="582"/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84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FA0E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0E93">
              <w:rPr>
                <w:rFonts w:ascii="Times New Roman" w:hAnsi="Times New Roman"/>
                <w:b/>
                <w:sz w:val="24"/>
                <w:szCs w:val="24"/>
              </w:rPr>
              <w:t>Информационный мир</w:t>
            </w:r>
            <w:r w:rsidRPr="00A650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FA0E9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Топчий А.Н.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0F53F2" w:rsidRDefault="00A6505E" w:rsidP="000F53F2">
            <w:pPr>
              <w:ind w:lef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3F2">
              <w:rPr>
                <w:rFonts w:ascii="Times New Roman" w:hAnsi="Times New Roman"/>
                <w:b/>
                <w:sz w:val="24"/>
                <w:szCs w:val="24"/>
              </w:rPr>
              <w:t>«Человек-</w:t>
            </w:r>
            <w:r w:rsidR="000F53F2" w:rsidRPr="000F53F2"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  <w:r w:rsidRPr="000F53F2">
              <w:rPr>
                <w:rFonts w:ascii="Times New Roman" w:hAnsi="Times New Roman"/>
                <w:b/>
                <w:sz w:val="24"/>
                <w:szCs w:val="24"/>
              </w:rPr>
              <w:t>-мир»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0F53F2" w:rsidRDefault="00847543" w:rsidP="00A65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3F2">
              <w:rPr>
                <w:rFonts w:ascii="Times New Roman" w:hAnsi="Times New Roman"/>
                <w:sz w:val="24"/>
                <w:szCs w:val="24"/>
              </w:rPr>
              <w:t>Башляева О.В.</w:t>
            </w:r>
          </w:p>
        </w:tc>
      </w:tr>
      <w:tr w:rsidR="00A6505E" w:rsidRPr="00A6505E" w:rsidTr="007A087F">
        <w:trPr>
          <w:tblCellSpacing w:w="0" w:type="dxa"/>
        </w:trPr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505E" w:rsidRPr="00A6505E" w:rsidRDefault="00A6505E" w:rsidP="007A087F">
            <w:pPr>
              <w:rPr>
                <w:rFonts w:ascii="Times New Roman" w:hAnsi="Times New Roman"/>
                <w:sz w:val="24"/>
                <w:szCs w:val="24"/>
              </w:rPr>
            </w:pPr>
            <w:r w:rsidRPr="00A6505E">
              <w:rPr>
                <w:rFonts w:ascii="Times New Roman" w:hAnsi="Times New Roman"/>
                <w:sz w:val="24"/>
                <w:szCs w:val="24"/>
              </w:rPr>
              <w:t xml:space="preserve"> 6 часов</w:t>
            </w:r>
          </w:p>
        </w:tc>
      </w:tr>
    </w:tbl>
    <w:p w:rsidR="00111D75" w:rsidRDefault="00111D75" w:rsidP="0080115C">
      <w:pPr>
        <w:pStyle w:val="Default"/>
        <w:ind w:firstLine="708"/>
        <w:contextualSpacing/>
        <w:jc w:val="both"/>
        <w:rPr>
          <w:color w:val="auto"/>
        </w:rPr>
      </w:pPr>
    </w:p>
    <w:sectPr w:rsidR="00111D75" w:rsidSect="0054151C">
      <w:type w:val="continuous"/>
      <w:pgSz w:w="12240" w:h="15840"/>
      <w:pgMar w:top="567" w:right="850" w:bottom="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23" w:rsidRPr="00E6323B" w:rsidRDefault="00062723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062723" w:rsidRPr="00E6323B" w:rsidRDefault="00062723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23" w:rsidRPr="00E6323B" w:rsidRDefault="00062723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062723" w:rsidRPr="00E6323B" w:rsidRDefault="00062723" w:rsidP="00E6323B">
      <w:pPr>
        <w:pStyle w:val="Default"/>
        <w:rPr>
          <w:rFonts w:ascii="Calibri" w:eastAsia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1E67BDA"/>
    <w:multiLevelType w:val="hybridMultilevel"/>
    <w:tmpl w:val="2846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23A73"/>
    <w:multiLevelType w:val="multilevel"/>
    <w:tmpl w:val="FFAE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C75C49"/>
    <w:multiLevelType w:val="hybridMultilevel"/>
    <w:tmpl w:val="22C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4D7B"/>
    <w:multiLevelType w:val="hybridMultilevel"/>
    <w:tmpl w:val="0B2E3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0733F6"/>
    <w:multiLevelType w:val="hybridMultilevel"/>
    <w:tmpl w:val="45A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0CDE"/>
    <w:multiLevelType w:val="hybridMultilevel"/>
    <w:tmpl w:val="D222DD64"/>
    <w:lvl w:ilvl="0" w:tplc="1ECE2B3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16893"/>
    <w:multiLevelType w:val="hybridMultilevel"/>
    <w:tmpl w:val="58B8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3233E"/>
    <w:multiLevelType w:val="hybridMultilevel"/>
    <w:tmpl w:val="3488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22215"/>
    <w:multiLevelType w:val="multilevel"/>
    <w:tmpl w:val="7F7A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3D720E"/>
    <w:multiLevelType w:val="multilevel"/>
    <w:tmpl w:val="BC26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ED7590"/>
    <w:multiLevelType w:val="hybridMultilevel"/>
    <w:tmpl w:val="59BC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5227B"/>
    <w:multiLevelType w:val="hybridMultilevel"/>
    <w:tmpl w:val="05EED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5841748"/>
    <w:multiLevelType w:val="hybridMultilevel"/>
    <w:tmpl w:val="DBAE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39F2"/>
    <w:multiLevelType w:val="hybridMultilevel"/>
    <w:tmpl w:val="0F06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DF641C"/>
    <w:multiLevelType w:val="hybridMultilevel"/>
    <w:tmpl w:val="8A9E3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4D43E5"/>
    <w:multiLevelType w:val="hybridMultilevel"/>
    <w:tmpl w:val="2324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11070"/>
    <w:multiLevelType w:val="hybridMultilevel"/>
    <w:tmpl w:val="52F29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D17FB4"/>
    <w:multiLevelType w:val="multilevel"/>
    <w:tmpl w:val="065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F647C6"/>
    <w:multiLevelType w:val="hybridMultilevel"/>
    <w:tmpl w:val="89ECCC8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3AB5BB7"/>
    <w:multiLevelType w:val="hybridMultilevel"/>
    <w:tmpl w:val="CC741816"/>
    <w:lvl w:ilvl="0" w:tplc="55C277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27650C"/>
    <w:multiLevelType w:val="hybridMultilevel"/>
    <w:tmpl w:val="CC5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27AD5"/>
    <w:multiLevelType w:val="hybridMultilevel"/>
    <w:tmpl w:val="5D02A0F6"/>
    <w:lvl w:ilvl="0" w:tplc="8F369F9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3F1F39A9"/>
    <w:multiLevelType w:val="hybridMultilevel"/>
    <w:tmpl w:val="BB5E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34794"/>
    <w:multiLevelType w:val="hybridMultilevel"/>
    <w:tmpl w:val="54DC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34D51"/>
    <w:multiLevelType w:val="multilevel"/>
    <w:tmpl w:val="B1CC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DF59F7"/>
    <w:multiLevelType w:val="multilevel"/>
    <w:tmpl w:val="3A1C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402A8"/>
    <w:multiLevelType w:val="multilevel"/>
    <w:tmpl w:val="3B32501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A70B52"/>
    <w:multiLevelType w:val="hybridMultilevel"/>
    <w:tmpl w:val="E518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C38A9"/>
    <w:multiLevelType w:val="hybridMultilevel"/>
    <w:tmpl w:val="2482FE3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E08A8"/>
    <w:multiLevelType w:val="hybridMultilevel"/>
    <w:tmpl w:val="7E60A506"/>
    <w:lvl w:ilvl="0" w:tplc="5E741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823633"/>
    <w:multiLevelType w:val="hybridMultilevel"/>
    <w:tmpl w:val="214A7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4F7DDB"/>
    <w:multiLevelType w:val="hybridMultilevel"/>
    <w:tmpl w:val="324E2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2A31C5"/>
    <w:multiLevelType w:val="multilevel"/>
    <w:tmpl w:val="FFA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60794F"/>
    <w:multiLevelType w:val="hybridMultilevel"/>
    <w:tmpl w:val="279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02B67"/>
    <w:multiLevelType w:val="hybridMultilevel"/>
    <w:tmpl w:val="B0FC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13AE4"/>
    <w:multiLevelType w:val="hybridMultilevel"/>
    <w:tmpl w:val="41CCC1F8"/>
    <w:lvl w:ilvl="0" w:tplc="EF982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7F7544"/>
    <w:multiLevelType w:val="hybridMultilevel"/>
    <w:tmpl w:val="E52A15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6E3B1599"/>
    <w:multiLevelType w:val="hybridMultilevel"/>
    <w:tmpl w:val="153274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4AD6143"/>
    <w:multiLevelType w:val="hybridMultilevel"/>
    <w:tmpl w:val="4452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6D16FFD"/>
    <w:multiLevelType w:val="hybridMultilevel"/>
    <w:tmpl w:val="7BB0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0F39D9"/>
    <w:multiLevelType w:val="multilevel"/>
    <w:tmpl w:val="1102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F00D94"/>
    <w:multiLevelType w:val="hybridMultilevel"/>
    <w:tmpl w:val="1370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6"/>
  </w:num>
  <w:num w:numId="5">
    <w:abstractNumId w:val="37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3"/>
  </w:num>
  <w:num w:numId="10">
    <w:abstractNumId w:val="17"/>
  </w:num>
  <w:num w:numId="11">
    <w:abstractNumId w:val="3"/>
  </w:num>
  <w:num w:numId="12">
    <w:abstractNumId w:val="38"/>
  </w:num>
  <w:num w:numId="13">
    <w:abstractNumId w:val="35"/>
  </w:num>
  <w:num w:numId="14">
    <w:abstractNumId w:val="36"/>
  </w:num>
  <w:num w:numId="15">
    <w:abstractNumId w:val="7"/>
  </w:num>
  <w:num w:numId="16">
    <w:abstractNumId w:val="30"/>
  </w:num>
  <w:num w:numId="17">
    <w:abstractNumId w:val="33"/>
  </w:num>
  <w:num w:numId="18">
    <w:abstractNumId w:val="41"/>
  </w:num>
  <w:num w:numId="19">
    <w:abstractNumId w:val="31"/>
  </w:num>
  <w:num w:numId="20">
    <w:abstractNumId w:val="42"/>
  </w:num>
  <w:num w:numId="21">
    <w:abstractNumId w:val="25"/>
  </w:num>
  <w:num w:numId="22">
    <w:abstractNumId w:val="45"/>
  </w:num>
  <w:num w:numId="23">
    <w:abstractNumId w:val="8"/>
  </w:num>
  <w:num w:numId="24">
    <w:abstractNumId w:val="13"/>
  </w:num>
  <w:num w:numId="25">
    <w:abstractNumId w:val="4"/>
  </w:num>
  <w:num w:numId="26">
    <w:abstractNumId w:val="32"/>
  </w:num>
  <w:num w:numId="27">
    <w:abstractNumId w:val="34"/>
  </w:num>
  <w:num w:numId="28">
    <w:abstractNumId w:val="20"/>
  </w:num>
  <w:num w:numId="29">
    <w:abstractNumId w:val="43"/>
  </w:num>
  <w:num w:numId="30">
    <w:abstractNumId w:val="22"/>
  </w:num>
  <w:num w:numId="31">
    <w:abstractNumId w:val="16"/>
  </w:num>
  <w:num w:numId="32">
    <w:abstractNumId w:val="24"/>
  </w:num>
  <w:num w:numId="33">
    <w:abstractNumId w:val="11"/>
  </w:num>
  <w:num w:numId="34">
    <w:abstractNumId w:val="26"/>
  </w:num>
  <w:num w:numId="35">
    <w:abstractNumId w:val="5"/>
  </w:num>
  <w:num w:numId="36">
    <w:abstractNumId w:val="2"/>
  </w:num>
  <w:num w:numId="37">
    <w:abstractNumId w:val="19"/>
  </w:num>
  <w:num w:numId="38">
    <w:abstractNumId w:val="14"/>
  </w:num>
  <w:num w:numId="39">
    <w:abstractNumId w:val="39"/>
  </w:num>
  <w:num w:numId="40">
    <w:abstractNumId w:val="29"/>
  </w:num>
  <w:num w:numId="41">
    <w:abstractNumId w:val="1"/>
  </w:num>
  <w:num w:numId="42">
    <w:abstractNumId w:val="15"/>
  </w:num>
  <w:num w:numId="43">
    <w:abstractNumId w:val="44"/>
  </w:num>
  <w:num w:numId="44">
    <w:abstractNumId w:val="9"/>
  </w:num>
  <w:num w:numId="45">
    <w:abstractNumId w:val="10"/>
  </w:num>
  <w:num w:numId="46">
    <w:abstractNumId w:val="18"/>
  </w:num>
  <w:num w:numId="47">
    <w:abstractNumId w:val="27"/>
  </w:num>
  <w:num w:numId="48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03"/>
    <w:rsid w:val="00004BF8"/>
    <w:rsid w:val="00012E5F"/>
    <w:rsid w:val="00022F9D"/>
    <w:rsid w:val="0002635F"/>
    <w:rsid w:val="000338E2"/>
    <w:rsid w:val="00033B70"/>
    <w:rsid w:val="0003658C"/>
    <w:rsid w:val="000414E5"/>
    <w:rsid w:val="00062723"/>
    <w:rsid w:val="00066A66"/>
    <w:rsid w:val="00067498"/>
    <w:rsid w:val="0007691A"/>
    <w:rsid w:val="00091FAC"/>
    <w:rsid w:val="0009399A"/>
    <w:rsid w:val="00096DD2"/>
    <w:rsid w:val="000C622F"/>
    <w:rsid w:val="000D01D2"/>
    <w:rsid w:val="000D0432"/>
    <w:rsid w:val="000D353A"/>
    <w:rsid w:val="000D44AD"/>
    <w:rsid w:val="000D7934"/>
    <w:rsid w:val="000E0E48"/>
    <w:rsid w:val="000F1ABE"/>
    <w:rsid w:val="000F53F2"/>
    <w:rsid w:val="00111D75"/>
    <w:rsid w:val="001127A6"/>
    <w:rsid w:val="001368C9"/>
    <w:rsid w:val="0014687E"/>
    <w:rsid w:val="00151D84"/>
    <w:rsid w:val="0015615F"/>
    <w:rsid w:val="00192F08"/>
    <w:rsid w:val="001940C4"/>
    <w:rsid w:val="0019563B"/>
    <w:rsid w:val="001B1528"/>
    <w:rsid w:val="001C4C76"/>
    <w:rsid w:val="001E7A0A"/>
    <w:rsid w:val="00204590"/>
    <w:rsid w:val="00221E28"/>
    <w:rsid w:val="00232374"/>
    <w:rsid w:val="002360C6"/>
    <w:rsid w:val="002461AF"/>
    <w:rsid w:val="002655BB"/>
    <w:rsid w:val="00267015"/>
    <w:rsid w:val="0028196B"/>
    <w:rsid w:val="002A1C22"/>
    <w:rsid w:val="002B6BB1"/>
    <w:rsid w:val="002C6722"/>
    <w:rsid w:val="002E40CE"/>
    <w:rsid w:val="002F3D12"/>
    <w:rsid w:val="00360636"/>
    <w:rsid w:val="00367322"/>
    <w:rsid w:val="00382FE7"/>
    <w:rsid w:val="003B11EF"/>
    <w:rsid w:val="003C61A2"/>
    <w:rsid w:val="003D296D"/>
    <w:rsid w:val="003E05F7"/>
    <w:rsid w:val="003E3BEC"/>
    <w:rsid w:val="003F0DBE"/>
    <w:rsid w:val="003F4CAD"/>
    <w:rsid w:val="00407FE3"/>
    <w:rsid w:val="004177B1"/>
    <w:rsid w:val="0042519E"/>
    <w:rsid w:val="00432E7D"/>
    <w:rsid w:val="00436861"/>
    <w:rsid w:val="00440D42"/>
    <w:rsid w:val="0044492E"/>
    <w:rsid w:val="00446197"/>
    <w:rsid w:val="0044727E"/>
    <w:rsid w:val="00463615"/>
    <w:rsid w:val="0046577B"/>
    <w:rsid w:val="00477E82"/>
    <w:rsid w:val="004B56A3"/>
    <w:rsid w:val="004C0172"/>
    <w:rsid w:val="004D0B65"/>
    <w:rsid w:val="004D3FC7"/>
    <w:rsid w:val="004F60B0"/>
    <w:rsid w:val="00521EE3"/>
    <w:rsid w:val="00522C57"/>
    <w:rsid w:val="00532DA6"/>
    <w:rsid w:val="00535D6A"/>
    <w:rsid w:val="00536451"/>
    <w:rsid w:val="0054151C"/>
    <w:rsid w:val="005515A2"/>
    <w:rsid w:val="00554593"/>
    <w:rsid w:val="00555701"/>
    <w:rsid w:val="00575DEF"/>
    <w:rsid w:val="0058550B"/>
    <w:rsid w:val="005B523A"/>
    <w:rsid w:val="005D30BB"/>
    <w:rsid w:val="005D62B4"/>
    <w:rsid w:val="005E0E57"/>
    <w:rsid w:val="005E35D9"/>
    <w:rsid w:val="00600929"/>
    <w:rsid w:val="00610B73"/>
    <w:rsid w:val="00635ECD"/>
    <w:rsid w:val="00645AC5"/>
    <w:rsid w:val="00645CB4"/>
    <w:rsid w:val="006514A6"/>
    <w:rsid w:val="0065169C"/>
    <w:rsid w:val="00661BD7"/>
    <w:rsid w:val="00675A2C"/>
    <w:rsid w:val="00685E77"/>
    <w:rsid w:val="006871BD"/>
    <w:rsid w:val="006904B3"/>
    <w:rsid w:val="006A75C8"/>
    <w:rsid w:val="006B317B"/>
    <w:rsid w:val="006B708B"/>
    <w:rsid w:val="006C4A94"/>
    <w:rsid w:val="006E7BB0"/>
    <w:rsid w:val="00723874"/>
    <w:rsid w:val="00727425"/>
    <w:rsid w:val="00731C18"/>
    <w:rsid w:val="007444BA"/>
    <w:rsid w:val="00747534"/>
    <w:rsid w:val="007749BD"/>
    <w:rsid w:val="007868D7"/>
    <w:rsid w:val="007B7312"/>
    <w:rsid w:val="007E66FE"/>
    <w:rsid w:val="007E734F"/>
    <w:rsid w:val="0080115C"/>
    <w:rsid w:val="00807366"/>
    <w:rsid w:val="0082523E"/>
    <w:rsid w:val="00847543"/>
    <w:rsid w:val="00851FC6"/>
    <w:rsid w:val="00862832"/>
    <w:rsid w:val="00873C3A"/>
    <w:rsid w:val="008A6813"/>
    <w:rsid w:val="008B3CEA"/>
    <w:rsid w:val="008B4F96"/>
    <w:rsid w:val="008C2DFA"/>
    <w:rsid w:val="008E65B7"/>
    <w:rsid w:val="008E691F"/>
    <w:rsid w:val="0090328A"/>
    <w:rsid w:val="00925B93"/>
    <w:rsid w:val="009274F4"/>
    <w:rsid w:val="00952A12"/>
    <w:rsid w:val="009569DB"/>
    <w:rsid w:val="00957BD1"/>
    <w:rsid w:val="00974300"/>
    <w:rsid w:val="00977ABE"/>
    <w:rsid w:val="00985DDD"/>
    <w:rsid w:val="0099368A"/>
    <w:rsid w:val="009948EC"/>
    <w:rsid w:val="009A2609"/>
    <w:rsid w:val="009C08FE"/>
    <w:rsid w:val="009C3D5E"/>
    <w:rsid w:val="009C5C5C"/>
    <w:rsid w:val="009C5FCA"/>
    <w:rsid w:val="009D1407"/>
    <w:rsid w:val="009E2868"/>
    <w:rsid w:val="009F1371"/>
    <w:rsid w:val="009F4963"/>
    <w:rsid w:val="009F7AAE"/>
    <w:rsid w:val="00A05369"/>
    <w:rsid w:val="00A2128B"/>
    <w:rsid w:val="00A24328"/>
    <w:rsid w:val="00A41BC3"/>
    <w:rsid w:val="00A548A0"/>
    <w:rsid w:val="00A566D8"/>
    <w:rsid w:val="00A6505E"/>
    <w:rsid w:val="00A679BE"/>
    <w:rsid w:val="00A70D9D"/>
    <w:rsid w:val="00A72281"/>
    <w:rsid w:val="00A82967"/>
    <w:rsid w:val="00AA409A"/>
    <w:rsid w:val="00AC3C42"/>
    <w:rsid w:val="00AC5DD4"/>
    <w:rsid w:val="00B36036"/>
    <w:rsid w:val="00B45B78"/>
    <w:rsid w:val="00B4769A"/>
    <w:rsid w:val="00B52574"/>
    <w:rsid w:val="00B95978"/>
    <w:rsid w:val="00B9652A"/>
    <w:rsid w:val="00BA1D44"/>
    <w:rsid w:val="00BA1E6C"/>
    <w:rsid w:val="00BB7B39"/>
    <w:rsid w:val="00BD1FD9"/>
    <w:rsid w:val="00C05391"/>
    <w:rsid w:val="00C1129F"/>
    <w:rsid w:val="00C25AAE"/>
    <w:rsid w:val="00C27FDB"/>
    <w:rsid w:val="00C46B3F"/>
    <w:rsid w:val="00C51AD4"/>
    <w:rsid w:val="00C5275A"/>
    <w:rsid w:val="00C52E6F"/>
    <w:rsid w:val="00C65237"/>
    <w:rsid w:val="00C85BE7"/>
    <w:rsid w:val="00CA3703"/>
    <w:rsid w:val="00CB027F"/>
    <w:rsid w:val="00CB219A"/>
    <w:rsid w:val="00CC5516"/>
    <w:rsid w:val="00CE2583"/>
    <w:rsid w:val="00CF307D"/>
    <w:rsid w:val="00D02277"/>
    <w:rsid w:val="00D068A6"/>
    <w:rsid w:val="00D25DA9"/>
    <w:rsid w:val="00D2788C"/>
    <w:rsid w:val="00D335A6"/>
    <w:rsid w:val="00D35687"/>
    <w:rsid w:val="00D37027"/>
    <w:rsid w:val="00D477A7"/>
    <w:rsid w:val="00D901D9"/>
    <w:rsid w:val="00D94FF8"/>
    <w:rsid w:val="00D9766F"/>
    <w:rsid w:val="00DA05E3"/>
    <w:rsid w:val="00DA3828"/>
    <w:rsid w:val="00DA6910"/>
    <w:rsid w:val="00DE334E"/>
    <w:rsid w:val="00DF4BD0"/>
    <w:rsid w:val="00E0010F"/>
    <w:rsid w:val="00E03A9F"/>
    <w:rsid w:val="00E06542"/>
    <w:rsid w:val="00E15871"/>
    <w:rsid w:val="00E3267F"/>
    <w:rsid w:val="00E32B13"/>
    <w:rsid w:val="00E36AAF"/>
    <w:rsid w:val="00E402ED"/>
    <w:rsid w:val="00E44ABB"/>
    <w:rsid w:val="00E6323B"/>
    <w:rsid w:val="00E77CA9"/>
    <w:rsid w:val="00ED0C4D"/>
    <w:rsid w:val="00EE7EC1"/>
    <w:rsid w:val="00EF0D1D"/>
    <w:rsid w:val="00F03DBF"/>
    <w:rsid w:val="00F36868"/>
    <w:rsid w:val="00F37819"/>
    <w:rsid w:val="00F41320"/>
    <w:rsid w:val="00F7066C"/>
    <w:rsid w:val="00FA0E93"/>
    <w:rsid w:val="00FA1B6F"/>
    <w:rsid w:val="00FB1039"/>
    <w:rsid w:val="00FB1320"/>
    <w:rsid w:val="00FC2EFB"/>
    <w:rsid w:val="00FC511C"/>
    <w:rsid w:val="00FC7F79"/>
    <w:rsid w:val="00FD1BE7"/>
    <w:rsid w:val="00FE781E"/>
    <w:rsid w:val="00FF3763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45B78"/>
    <w:pPr>
      <w:keepNext/>
      <w:keepLines/>
      <w:suppressAutoHyphen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B78"/>
    <w:pPr>
      <w:keepNext/>
      <w:keepLines/>
      <w:suppressAutoHyphens/>
      <w:spacing w:before="20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86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6577B"/>
    <w:rPr>
      <w:b/>
      <w:bCs/>
    </w:rPr>
  </w:style>
  <w:style w:type="paragraph" w:styleId="a5">
    <w:name w:val="List Paragraph"/>
    <w:basedOn w:val="a"/>
    <w:uiPriority w:val="99"/>
    <w:qFormat/>
    <w:rsid w:val="0046577B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  <w:style w:type="table" w:styleId="a6">
    <w:name w:val="Table Grid"/>
    <w:basedOn w:val="a1"/>
    <w:uiPriority w:val="59"/>
    <w:rsid w:val="0040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59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6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323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6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323B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uiPriority w:val="99"/>
    <w:locked/>
    <w:rsid w:val="00367322"/>
    <w:rPr>
      <w:rFonts w:ascii="Times New Roman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d"/>
    <w:uiPriority w:val="99"/>
    <w:rsid w:val="00367322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Zag11">
    <w:name w:val="Zag_11"/>
    <w:uiPriority w:val="99"/>
    <w:rsid w:val="00367322"/>
  </w:style>
  <w:style w:type="character" w:customStyle="1" w:styleId="10">
    <w:name w:val="Заголовок 1 Знак"/>
    <w:basedOn w:val="a0"/>
    <w:link w:val="1"/>
    <w:uiPriority w:val="99"/>
    <w:rsid w:val="00B45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5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5B7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5B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B7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45B78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5B7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45B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5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B45B78"/>
    <w:pPr>
      <w:suppressAutoHyphens/>
      <w:spacing w:after="0" w:line="240" w:lineRule="auto"/>
      <w:ind w:firstLine="709"/>
      <w:jc w:val="both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B45B78"/>
    <w:pPr>
      <w:pBdr>
        <w:bottom w:val="single" w:sz="8" w:space="4" w:color="4F81BD" w:themeColor="accent1"/>
      </w:pBdr>
      <w:suppressAutoHyphens/>
      <w:spacing w:after="30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B45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B45B78"/>
    <w:pPr>
      <w:numPr>
        <w:ilvl w:val="1"/>
      </w:numPr>
      <w:suppressAutoHyphens/>
      <w:spacing w:after="0"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B45B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99"/>
    <w:qFormat/>
    <w:rsid w:val="00B45B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45B78"/>
    <w:pPr>
      <w:suppressAutoHyphens/>
      <w:spacing w:after="0" w:line="360" w:lineRule="auto"/>
      <w:ind w:firstLine="709"/>
      <w:jc w:val="both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45B78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f5">
    <w:name w:val="Intense Quote"/>
    <w:basedOn w:val="a"/>
    <w:next w:val="a"/>
    <w:link w:val="af6"/>
    <w:uiPriority w:val="30"/>
    <w:qFormat/>
    <w:rsid w:val="00B45B78"/>
    <w:pPr>
      <w:pBdr>
        <w:bottom w:val="single" w:sz="4" w:space="4" w:color="4F81BD" w:themeColor="accent1"/>
      </w:pBdr>
      <w:suppressAutoHyphens/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bCs/>
      <w:i/>
      <w:iCs/>
      <w:color w:val="4F81BD" w:themeColor="accent1"/>
      <w:sz w:val="28"/>
    </w:rPr>
  </w:style>
  <w:style w:type="character" w:customStyle="1" w:styleId="af6">
    <w:name w:val="Выделенная цитата Знак"/>
    <w:basedOn w:val="a0"/>
    <w:link w:val="af5"/>
    <w:uiPriority w:val="30"/>
    <w:rsid w:val="00B45B78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styleId="af7">
    <w:name w:val="Subtle Emphasis"/>
    <w:basedOn w:val="a0"/>
    <w:uiPriority w:val="19"/>
    <w:qFormat/>
    <w:rsid w:val="00B45B7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B45B7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B45B7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B45B78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B45B7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45B78"/>
    <w:pPr>
      <w:outlineLvl w:val="9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B45B7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uiPriority w:val="99"/>
    <w:rsid w:val="00B45B7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">
    <w:name w:val="Номер 1"/>
    <w:basedOn w:val="1"/>
    <w:uiPriority w:val="99"/>
    <w:rsid w:val="00B45B78"/>
    <w:pPr>
      <w:keepLines w:val="0"/>
      <w:autoSpaceDE w:val="0"/>
      <w:autoSpaceDN w:val="0"/>
      <w:adjustRightInd w:val="0"/>
      <w:spacing w:before="360" w:after="240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styleId="23">
    <w:name w:val="Body Text 2"/>
    <w:basedOn w:val="a"/>
    <w:link w:val="24"/>
    <w:uiPriority w:val="99"/>
    <w:rsid w:val="00B45B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45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B45B78"/>
    <w:pPr>
      <w:tabs>
        <w:tab w:val="right" w:leader="dot" w:pos="9061"/>
      </w:tabs>
      <w:spacing w:before="240"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25">
    <w:name w:val="toc 2"/>
    <w:basedOn w:val="a"/>
    <w:next w:val="a"/>
    <w:autoRedefine/>
    <w:uiPriority w:val="99"/>
    <w:rsid w:val="00B45B78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fd">
    <w:name w:val="Hyperlink"/>
    <w:basedOn w:val="a0"/>
    <w:uiPriority w:val="99"/>
    <w:rsid w:val="00B45B78"/>
    <w:rPr>
      <w:rFonts w:cs="Times New Roman"/>
      <w:color w:val="0000FF"/>
      <w:u w:val="single"/>
    </w:rPr>
  </w:style>
  <w:style w:type="paragraph" w:customStyle="1" w:styleId="FR3">
    <w:name w:val="FR3"/>
    <w:uiPriority w:val="99"/>
    <w:rsid w:val="00B45B78"/>
    <w:pPr>
      <w:widowControl w:val="0"/>
      <w:suppressAutoHyphens/>
      <w:spacing w:after="0" w:line="259" w:lineRule="auto"/>
      <w:ind w:firstLine="300"/>
      <w:jc w:val="both"/>
    </w:pPr>
    <w:rPr>
      <w:rFonts w:ascii="Arial" w:eastAsia="Calibri" w:hAnsi="Arial" w:cs="Times New Roman"/>
      <w:sz w:val="18"/>
      <w:szCs w:val="20"/>
      <w:lang w:eastAsia="ar-SA"/>
    </w:rPr>
  </w:style>
  <w:style w:type="paragraph" w:styleId="afe">
    <w:name w:val="Body Text"/>
    <w:aliases w:val="body text,Основной текст Знак1,Основной текст Знак Знак,Основной текст отчета"/>
    <w:basedOn w:val="a"/>
    <w:link w:val="aff"/>
    <w:uiPriority w:val="99"/>
    <w:rsid w:val="00B45B78"/>
    <w:pPr>
      <w:spacing w:after="120"/>
    </w:pPr>
  </w:style>
  <w:style w:type="character" w:customStyle="1" w:styleId="aff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fe"/>
    <w:uiPriority w:val="99"/>
    <w:rsid w:val="00B45B78"/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B45B78"/>
    <w:rPr>
      <w:rFonts w:ascii="Times New Roman" w:hAnsi="Times New Roman" w:cs="Times New Roman"/>
      <w:sz w:val="26"/>
      <w:szCs w:val="26"/>
    </w:rPr>
  </w:style>
  <w:style w:type="paragraph" w:styleId="aff0">
    <w:name w:val="Normal (Web)"/>
    <w:basedOn w:val="a"/>
    <w:uiPriority w:val="99"/>
    <w:rsid w:val="00B45B78"/>
    <w:pPr>
      <w:spacing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Body Text Indent"/>
    <w:basedOn w:val="a"/>
    <w:link w:val="aff2"/>
    <w:uiPriority w:val="99"/>
    <w:rsid w:val="00B45B78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B45B78"/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B45B78"/>
    <w:pPr>
      <w:widowControl w:val="0"/>
      <w:spacing w:before="100" w:after="100" w:line="2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2F3D12"/>
    <w:pPr>
      <w:widowControl w:val="0"/>
      <w:autoSpaceDE w:val="0"/>
      <w:autoSpaceDN w:val="0"/>
      <w:spacing w:after="0" w:line="240" w:lineRule="auto"/>
      <w:ind w:left="1788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BDBCD51EE84E810E6FF01994CE42D7604C7CEEA2EE68B42EA0578B0DFA966AA684660F6E1958EcB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BDBCD51EE84E810E6FF01994CE42D760AC1C4EC27E68B42EA0578B0DFA966AA684660F6E1958EcB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235E-89E6-4305-9A16-5019623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1</cp:lastModifiedBy>
  <cp:revision>14</cp:revision>
  <cp:lastPrinted>2021-10-11T06:24:00Z</cp:lastPrinted>
  <dcterms:created xsi:type="dcterms:W3CDTF">2020-08-20T11:54:00Z</dcterms:created>
  <dcterms:modified xsi:type="dcterms:W3CDTF">2021-10-12T09:16:00Z</dcterms:modified>
</cp:coreProperties>
</file>