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B1" w:rsidRDefault="00714412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7B1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11E768A0" wp14:editId="75A580FD">
            <wp:simplePos x="0" y="0"/>
            <wp:positionH relativeFrom="page">
              <wp:posOffset>1326140</wp:posOffset>
            </wp:positionH>
            <wp:positionV relativeFrom="page">
              <wp:posOffset>-1381224</wp:posOffset>
            </wp:positionV>
            <wp:extent cx="8024235" cy="10696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0273" cy="107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B1" w:rsidRDefault="007237B1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7688" w:rsidRPr="00E57688" w:rsidRDefault="00E57688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E57688" w:rsidRPr="00E57688" w:rsidRDefault="00E57688" w:rsidP="00E57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 № 1897»);</w:t>
      </w:r>
    </w:p>
    <w:p w:rsidR="00E57688" w:rsidRPr="00E57688" w:rsidRDefault="00E57688" w:rsidP="00E57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E57688" w:rsidRPr="00E57688" w:rsidRDefault="00E57688" w:rsidP="00E57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E57688" w:rsidRPr="00E57688" w:rsidRDefault="00E57688" w:rsidP="00E57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E57688" w:rsidRPr="00E57688" w:rsidRDefault="00E57688" w:rsidP="00E576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688">
        <w:rPr>
          <w:rFonts w:ascii="Times New Roman" w:hAnsi="Times New Roman" w:cs="Times New Roman"/>
          <w:sz w:val="24"/>
          <w:szCs w:val="24"/>
        </w:rPr>
        <w:t xml:space="preserve">ля реализации программы используется учебник «Русский язык» под ред.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E57688" w:rsidRPr="00E57688" w:rsidRDefault="0066541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688"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следующие цели: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E57688" w:rsidRPr="00E57688" w:rsidRDefault="0066541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688"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E57688" w:rsidRPr="0066541B" w:rsidRDefault="007237B1" w:rsidP="00665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E57688"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E57688" w:rsidRPr="00E57688" w:rsidRDefault="0066541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665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уважительное отношение к религиозным чувствам, взглядам людей или их отсутствию;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5. Осознанное, уважительное и доброжелательное отношение к другому человеку,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жизни в группах и сообществах.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Участие в школьном самоуправлении 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которые включены и которые формируют сами учащиеся; включенность вне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посредственное гражданское участие, готовность участвовать в жизнедеятельности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подросткового общественного объединения, продуктивно взаимодействующего с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социальной средой и социальными институтами;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идентификация себя в качестве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компетенций анализа, проектирования, организации деятельности, рефлексии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изменений, способов взаимовыгодного сотрудничества, способов реализации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собственного лидерского потенциала).</w:t>
      </w:r>
      <w:proofErr w:type="gramEnd"/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способность понимать художественные произведения, отражающие разные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этнокультурные традиции; сформированность основ художественной культуры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культуры; уважение к истории культуры своего Отечества,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произведениями, сформированность активного отношения к традициям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ценности).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том числе экотуризмом, к осуществлению природоохранной деятельности).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познавательные, коммуникативные).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подготовки к трудовой и социальной деятельности. У выпускников будет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«потребного будущего».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 изучении учебного предмета обучающиеся усовершенствуют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="00C131CB" w:rsidRPr="00E57688">
        <w:rPr>
          <w:rFonts w:ascii="Times New Roman" w:hAnsi="Times New Roman" w:cs="Times New Roman"/>
          <w:sz w:val="24"/>
          <w:szCs w:val="24"/>
        </w:rPr>
        <w:t>приобретённые</w:t>
      </w:r>
      <w:r w:rsidRPr="00E57688">
        <w:rPr>
          <w:rFonts w:ascii="Times New Roman" w:hAnsi="Times New Roman" w:cs="Times New Roman"/>
          <w:sz w:val="24"/>
          <w:szCs w:val="24"/>
        </w:rPr>
        <w:t xml:space="preserve"> на первом уровне навыки работы с информацией и пополнят их. Они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смогут работать с текстами, преобразовывать и интерпретировать содержащуюся 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E57688" w:rsidRPr="00E57688" w:rsidRDefault="00E57688" w:rsidP="00C131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E57688" w:rsidRPr="00E57688" w:rsidRDefault="00E57688" w:rsidP="00C131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</w:t>
      </w:r>
      <w:proofErr w:type="spellEnd"/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(в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 плана или тезисов) и в наглядно-символической форме (в виде таблиц,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графических схем, карт понятий —концептуальных диаграмм, опорных конспектов);</w:t>
      </w:r>
    </w:p>
    <w:p w:rsidR="00E57688" w:rsidRPr="00E57688" w:rsidRDefault="00C131CB" w:rsidP="00C131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7688"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E57688" w:rsidRPr="00E57688" w:rsidRDefault="00C131C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  <w:proofErr w:type="gramEnd"/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решения, в том числе и в ситуациях </w:t>
      </w:r>
      <w:r w:rsidR="00C131CB" w:rsidRPr="00E57688">
        <w:rPr>
          <w:rFonts w:ascii="Times New Roman" w:hAnsi="Times New Roman" w:cs="Times New Roman"/>
          <w:sz w:val="24"/>
          <w:szCs w:val="24"/>
        </w:rPr>
        <w:t>неопределённости</w:t>
      </w:r>
      <w:r w:rsidRPr="00E57688">
        <w:rPr>
          <w:rFonts w:ascii="Times New Roman" w:hAnsi="Times New Roman" w:cs="Times New Roman"/>
          <w:sz w:val="24"/>
          <w:szCs w:val="24"/>
        </w:rPr>
        <w:t>. Они получат возможно</w:t>
      </w:r>
      <w:r w:rsidR="00C131CB"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</w:t>
      </w:r>
    </w:p>
    <w:p w:rsidR="00C131CB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действий: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познавательные, коммуникативные.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результаты;</w:t>
      </w:r>
    </w:p>
    <w:p w:rsidR="00E57688" w:rsidRPr="00E57688" w:rsidRDefault="00E57688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57688" w:rsidRPr="00E57688" w:rsidRDefault="00E57688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E57688" w:rsidRPr="00E57688" w:rsidRDefault="00E57688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 w:rsidR="00C131CB"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57688" w:rsidRPr="00E57688" w:rsidRDefault="00C131CB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7688"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</w:t>
      </w:r>
      <w:r w:rsidR="00C131CB"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я) в соответствии с учебной 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траекторию.</w:t>
      </w:r>
    </w:p>
    <w:p w:rsidR="00C131CB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действия в соответ</w:t>
      </w:r>
      <w:r w:rsidR="00C131CB"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lastRenderedPageBreak/>
        <w:t>Обучающийся сможет: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отсутствия планируемого результата;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продукта/результата;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характеристиками процесса деятельности и по завершении деятельности предлагать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продукта;</w:t>
      </w:r>
    </w:p>
    <w:p w:rsidR="00E57688" w:rsidRPr="00E57688" w:rsidRDefault="00C131CB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E57688"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возможности ее решения. 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для выполнения учебной задачи;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C87C4C" w:rsidRPr="00C87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C4C">
        <w:rPr>
          <w:rFonts w:ascii="Times New Roman" w:hAnsi="Times New Roman" w:cs="Times New Roman"/>
          <w:i/>
          <w:sz w:val="24"/>
          <w:szCs w:val="24"/>
        </w:rPr>
        <w:t>сможет: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образовательной деятельности и делать выводы;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выводы. </w:t>
      </w:r>
      <w:proofErr w:type="gramEnd"/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lastRenderedPageBreak/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57688" w:rsidRPr="00E57688" w:rsidRDefault="00E57688" w:rsidP="00C87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находить в тексте требуемую информацию (в соответствии с целями своей деятельности);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E57688" w:rsidRPr="00E57688" w:rsidRDefault="00E57688" w:rsidP="00C87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57688" w:rsidRPr="00E57688" w:rsidRDefault="00E57688" w:rsidP="00C87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E57688" w:rsidRPr="00E57688" w:rsidRDefault="00E57688" w:rsidP="00C87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КТ).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87C4C" w:rsidRPr="00C87C4C" w:rsidRDefault="00C87C4C" w:rsidP="00E576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</w:t>
      </w:r>
      <w:r w:rsidR="00E57688"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E57688" w:rsidRPr="00E57688" w:rsidRDefault="00E57688" w:rsidP="00811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57688" w:rsidRPr="00E57688" w:rsidRDefault="00E57688" w:rsidP="00811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57688" w:rsidRPr="00E57688" w:rsidRDefault="00E57688" w:rsidP="00811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57688" w:rsidRPr="00E57688" w:rsidRDefault="00C87C4C" w:rsidP="00811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7688"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C87C4C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 w:rsidR="00C87C4C"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полных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причастий‚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кратких форм страд</w:t>
      </w:r>
      <w:r w:rsidR="00C87C4C"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>ремени‚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произношение безударного [а] после ж и ш;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произношение твердого [н] перед мягкими [ф'] и [в']; произношение мягкого [н] перед ч и щ.; постановка ударения в отдельных грамматических формах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слова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произносительных вариантов орфоэпической нормы и стилистических вариантов орфоэпической нормы;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их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публицистике, художественной литературе, разговорной речи;</w:t>
      </w:r>
      <w:proofErr w:type="gramEnd"/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прилагательных, глаголов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стилистических вариантов лексической нормы;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употребление синонимов, антонимов‚ омонимов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стилистических вариантов лексической нормы;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811AD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 краткой форме‚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811AD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словосочетания‚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(-я), - ы(и)‚различающихся по смыслу‚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литературных и разговорных форм глаголов‚ причастий‚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правильно употреблять имена существительные, прилагательные, глаголы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вариантов грамматической нормы; правильно употреблять синонимические грамматические конструкции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смысловых и стилистических особенностей;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исторических эпох; 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слова с живой внутренней формой, специфическим оценочн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распознавание, характеристика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онимать и истолковывать значения фразеологических оборотов с национально-культурным компонентом; 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знание источников крылатых слов и выражений; </w:t>
      </w:r>
    </w:p>
    <w:p w:rsidR="00811AD8" w:rsidRPr="00714412" w:rsidRDefault="00E57688" w:rsidP="00E5768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устаревшие);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811AD8" w:rsidRDefault="00811AD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использовать в общении этикетные речевые тактик и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>‚ помогающие противостоять речевой агрессии; использовать при общении в электронной среде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этики и русского речевого этикета;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  <w:proofErr w:type="gramEnd"/>
    </w:p>
    <w:p w:rsidR="00E57688" w:rsidRPr="00811AD8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научных, художественных, публицистических текстов различных функционально- смысловых типов речи;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уметь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; классифицировать фактический материал по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определѐнному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признаку; выделять наиболее существенные факты; устанавливать логическую связь между выявленными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фактами;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или прочитанного текста;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  <w:proofErr w:type="gramEnd"/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группировка), рецензию на проектную работу одноклассника, доклад; принимать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участие в учебно-научной дискуссии;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демонстрации);</w:t>
      </w:r>
      <w:proofErr w:type="gramEnd"/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текстов публицистических жанров (девиз, слоган,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подтекстовую информации текста, его сильных позиций; создавать объявления (в устной и письменной форме); деловые письма;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57688" w:rsidRPr="00811AD8" w:rsidRDefault="007237B1" w:rsidP="00811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E57688" w:rsidRPr="00811AD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1CB">
        <w:rPr>
          <w:rFonts w:ascii="Times New Roman" w:hAnsi="Times New Roman" w:cs="Times New Roman"/>
          <w:b/>
          <w:i/>
          <w:sz w:val="24"/>
          <w:szCs w:val="24"/>
        </w:rPr>
        <w:t>8 класс (17 часов)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Язык и культура</w:t>
      </w:r>
    </w:p>
    <w:p w:rsidR="00E57688" w:rsidRPr="00E57688" w:rsidRDefault="00C131C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688" w:rsidRPr="00E57688">
        <w:rPr>
          <w:rFonts w:ascii="Times New Roman" w:hAnsi="Times New Roman" w:cs="Times New Roman"/>
          <w:sz w:val="24"/>
          <w:szCs w:val="24"/>
        </w:rPr>
        <w:t>Связь исторического развития русского языка с историей общества, факторы,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повлиявшие на развитие русского языка и письменности.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праславянского (общеславянского) языка, древнерусские (обще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восточнославянские)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слова, собственно русские слова. Собственно русские слова как база и основной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источник развития лексики русского литературного языка.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Стилистически нейтральные, книжные, устаревшие старославянизмы. Группы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лексических единиц по степени устарелости. Национально-культурное своеобразие диалектизмов. Национально-культурная специфика русской фразеологии.</w:t>
      </w:r>
    </w:p>
    <w:p w:rsidR="00E57688" w:rsidRPr="00E57688" w:rsidRDefault="00C131C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688" w:rsidRPr="00E57688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 Употребление иноязычных слов как проблема культуры речи. Речевой этикет. Благопожелание как ключевая идея речевого этикета. Речевой этикет и вежливость. «Ты» и «ВЫ» в русском речевом этикете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E57688" w:rsidRPr="00E57688" w:rsidRDefault="00C131C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688" w:rsidRPr="00E57688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и варианты норм произношения существительных, прилагательных, глаголов, причастий, деепричастий, наречий, предлогов. Типичные орфоэпические ошибки в современной речи: произношение гласных [э],</w:t>
      </w:r>
      <w:r w:rsidR="00714412"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чни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; произношение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твѐрдого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[н] перед мягкими [ф'] и [в']; произношение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мягкого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[н]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щ. Типичные акцентологические ошибки в современной речи. Основные лексические нормы современного русского литературного языка. Лексические нормы и стилистические варианты употребления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прилагательных, местоимений, глаголов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русском литературном языке. Смысловые‚ стилистические особенности, типичные речевые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>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связанные с употреблением синонимов, антонимов, омонимов.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‚ связанные с употреблением терминов. Нарушение точности словоупотребления заимствованных слов. Основные грамматические нормы современного русского литературного языка.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Нормы употребления имен существительных, имен прилагательных, местоимений, глаголов, причастий, деепричастий, наречий, числительных,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предлогов, союзов.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Типичные грамматические ошибки.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два, три, четыре (два новых стола, две молодых женщины и две молодые женщины).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Нормы построения словосочетаний по типу согласования (маршрутное такси, обеих сестер – обоих братьев).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приѐ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Невербальный (несловесный) этикет общения. 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Язык и речь. Виды речевой деятельности Эффективные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слушания.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этапы работы. Основные методы, способы и средства получения, переработки информации.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Коммуникативные стратегии и тактики устного общения. Текст как единица языка и речи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Основные признаки текстов разных типов: повествование, описание, рассуждение. Структура аргументации: тезис, аргумент. Способы аргументации. Правила  эффективной аргументации. Причины неэффективной аргументации в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Учебно-научный стиль. Структура устного ответа.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научная дискуссия. Стандартные обороты речи для участия в учебно-научной</w:t>
      </w:r>
      <w:r w:rsidR="00714412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дискуссии. Правила корректной дискуссии. Публицистический стиль, его языковые и жанровые особенности. Язык художественной литературы.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Сочинение в жанре письма другу (в том числе</w:t>
      </w:r>
      <w:proofErr w:type="gramEnd"/>
    </w:p>
    <w:p w:rsid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электронного), страницы дневника и т.д.</w:t>
      </w:r>
    </w:p>
    <w:p w:rsidR="007237B1" w:rsidRPr="00E57688" w:rsidRDefault="007237B1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688" w:rsidRPr="007237B1" w:rsidRDefault="007237B1" w:rsidP="007237B1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E57688" w:rsidRPr="007237B1" w:rsidRDefault="00E57688" w:rsidP="007237B1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57688" w:rsidRPr="007237B1" w:rsidRDefault="00E57688" w:rsidP="00C131CB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37B1">
        <w:rPr>
          <w:rFonts w:ascii="Times New Roman" w:hAnsi="Times New Roman" w:cs="Times New Roman"/>
          <w:b/>
          <w:iCs/>
          <w:sz w:val="28"/>
          <w:szCs w:val="28"/>
        </w:rPr>
        <w:t>8 класс (17часов)</w:t>
      </w:r>
    </w:p>
    <w:tbl>
      <w:tblPr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9699"/>
        <w:gridCol w:w="993"/>
        <w:gridCol w:w="2409"/>
        <w:gridCol w:w="2344"/>
      </w:tblGrid>
      <w:tr w:rsidR="00714412" w:rsidRPr="00E57688" w:rsidTr="00714412">
        <w:tc>
          <w:tcPr>
            <w:tcW w:w="615" w:type="dxa"/>
          </w:tcPr>
          <w:p w:rsidR="00714412" w:rsidRPr="00E57688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9699" w:type="dxa"/>
          </w:tcPr>
          <w:p w:rsidR="00714412" w:rsidRPr="00E57688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714412" w:rsidRPr="007237B1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409" w:type="dxa"/>
          </w:tcPr>
          <w:p w:rsidR="00714412" w:rsidRPr="007237B1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Виды самостоятельной работы</w:t>
            </w:r>
          </w:p>
        </w:tc>
        <w:tc>
          <w:tcPr>
            <w:tcW w:w="2344" w:type="dxa"/>
          </w:tcPr>
          <w:p w:rsidR="00714412" w:rsidRPr="007237B1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Домашнее задание</w:t>
            </w:r>
          </w:p>
        </w:tc>
      </w:tr>
      <w:tr w:rsidR="00714412" w:rsidRPr="00E57688" w:rsidTr="00714412">
        <w:tc>
          <w:tcPr>
            <w:tcW w:w="13716" w:type="dxa"/>
            <w:gridSpan w:val="4"/>
          </w:tcPr>
          <w:p w:rsidR="00714412" w:rsidRPr="00E57688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«Язык и культура»</w:t>
            </w:r>
          </w:p>
        </w:tc>
        <w:tc>
          <w:tcPr>
            <w:tcW w:w="2344" w:type="dxa"/>
          </w:tcPr>
          <w:p w:rsidR="00714412" w:rsidRPr="00E57688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Связь исторического развития языка с историей общества. Факторы, повлиявшие на развитие русского языка и письменности. Исконно русская лексика и ее разновидности.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Собственно русские слова как источник развития лексики русского литературного языка.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Группы лексических единиц по степени устарелости. Диалектизмы.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старославянизмов в развитии русского литературного языка и их приметы.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Стилистически нейтральные, книжные, устаревшие старославянизмы. Организация подготовки защиты проекта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Национально-культурная специфика фразеологии. </w:t>
            </w:r>
          </w:p>
        </w:tc>
        <w:tc>
          <w:tcPr>
            <w:tcW w:w="993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проектов.</w:t>
            </w: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Иноязычная лексика в разговорной речи, дисплейных текстах, современной публицистике. </w:t>
            </w:r>
          </w:p>
        </w:tc>
        <w:tc>
          <w:tcPr>
            <w:tcW w:w="993" w:type="dxa"/>
          </w:tcPr>
          <w:p w:rsidR="00714412" w:rsidRPr="00E57688" w:rsidRDefault="00714412" w:rsidP="0071441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Благопожелание как ключевая идея речевого этикета. «Ты» и «Вы» в русском и американском речевых этикетах. Специфика приветствий, тематика бесед у русских и других народов. Активные процессы в речевом этикете. Новые варианты приветствия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прощания, возникшие в СМИ. 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проекта.</w:t>
            </w: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13716" w:type="dxa"/>
            <w:gridSpan w:val="4"/>
          </w:tcPr>
          <w:p w:rsidR="00714412" w:rsidRPr="00E57688" w:rsidRDefault="00714412" w:rsidP="007237B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« Культура речи»</w:t>
            </w:r>
          </w:p>
        </w:tc>
        <w:tc>
          <w:tcPr>
            <w:tcW w:w="2344" w:type="dxa"/>
          </w:tcPr>
          <w:p w:rsidR="00714412" w:rsidRPr="00E57688" w:rsidRDefault="00714412" w:rsidP="007237B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Нормы и варианты </w:t>
            </w:r>
            <w:proofErr w:type="gram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норм произношения слов разных частей речи</w:t>
            </w:r>
            <w:proofErr w:type="gram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. Типичные орфоэпические ошибки в современной речи. Типичные акцентологические ошибки в современной речи.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Лексические нормы и стилистические варианты употребления существительных, прилагательных, местоимений, глаголов в русском литературном языке.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Терминология и точность речи. Нормы употребления терминов в научном стиле. Особенности употребления терминов в публицистике, художественной литературе, разговорной речи. Речевые ошибки, связанные с употреблением терминов, синонимов, антонимов, лексических омонимов. 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Грамматические нормы употребления слов разных частей речи. Типичные грамматические ошибки. Нормы построения словосочетаний. Варианты грамматической нормы и их отражение в современных грамматических словарях и справочниках.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Речевая агрессия. Способы </w:t>
            </w:r>
            <w:proofErr w:type="spell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еѐ</w:t>
            </w:r>
            <w:proofErr w:type="spell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преодоления. Невербальный этикет общения</w:t>
            </w:r>
          </w:p>
        </w:tc>
        <w:tc>
          <w:tcPr>
            <w:tcW w:w="993" w:type="dxa"/>
          </w:tcPr>
          <w:p w:rsidR="00714412" w:rsidRPr="00E57688" w:rsidRDefault="00714412" w:rsidP="0071441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13716" w:type="dxa"/>
            <w:gridSpan w:val="4"/>
          </w:tcPr>
          <w:p w:rsidR="00714412" w:rsidRPr="00E57688" w:rsidRDefault="00714412" w:rsidP="007237B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«Речь. Речевая деятельность. Текст»</w:t>
            </w:r>
          </w:p>
        </w:tc>
        <w:tc>
          <w:tcPr>
            <w:tcW w:w="2344" w:type="dxa"/>
          </w:tcPr>
          <w:p w:rsidR="00714412" w:rsidRPr="00E57688" w:rsidRDefault="00714412" w:rsidP="007237B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Коммуникативные стратегии и тактики устного общения. Структура устного ответа. Эффективные приемы слушания. </w:t>
            </w:r>
            <w:proofErr w:type="spell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Предтекстовый</w:t>
            </w:r>
            <w:proofErr w:type="spell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текстовый</w:t>
            </w:r>
            <w:proofErr w:type="gram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послетекстовый</w:t>
            </w:r>
            <w:proofErr w:type="spell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этапы работы.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Аргументы. Структура аргументации. Способы аргументации. Причины неэффективной аргументации.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Самохарактеристика</w:t>
            </w:r>
            <w:proofErr w:type="spell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самопрезентация</w:t>
            </w:r>
            <w:proofErr w:type="spell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. Правила написания рефератов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Учебно-научная дискуссия. Правила корректной дискуссии. Доказательство и его структура. Прямые и косвенные доказательства. Способы опровержения доводов оппонента. 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защите рефератов.</w:t>
            </w: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Эпистолярный жанр в литературе. Промежуточная аттестация. </w:t>
            </w:r>
          </w:p>
        </w:tc>
        <w:tc>
          <w:tcPr>
            <w:tcW w:w="993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рефератов</w:t>
            </w: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Письмо как литературный жанр. Письмо другу. Написание сочинения в жанре письма другу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Сочинение.</w:t>
            </w:r>
          </w:p>
        </w:tc>
        <w:tc>
          <w:tcPr>
            <w:tcW w:w="2344" w:type="dxa"/>
          </w:tcPr>
          <w:p w:rsidR="00714412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Дневники героев художественных произведений.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714412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99" w:type="dxa"/>
          </w:tcPr>
          <w:p w:rsidR="00714412" w:rsidRPr="00824C2F" w:rsidRDefault="00714412" w:rsidP="00824C2F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4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Всего: 17 ч</w:t>
            </w:r>
            <w:r w:rsidR="00824C2F" w:rsidRPr="00824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асов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824C2F" w:rsidRPr="00824C2F" w:rsidRDefault="00824C2F" w:rsidP="00824C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C2F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4C2F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Обучающий корпус русского языка.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824C2F">
        <w:rPr>
          <w:rFonts w:ascii="Times New Roman" w:eastAsia="Calibri" w:hAnsi="Times New Roman" w:cs="Times New Roman"/>
          <w:sz w:val="24"/>
          <w:szCs w:val="24"/>
        </w:rPr>
        <w:t>://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824C2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824C2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24C2F">
        <w:rPr>
          <w:rFonts w:ascii="Times New Roman" w:eastAsia="Calibri" w:hAnsi="Times New Roman" w:cs="Times New Roman"/>
          <w:sz w:val="24"/>
          <w:szCs w:val="24"/>
        </w:rPr>
        <w:t>/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824C2F">
        <w:rPr>
          <w:rFonts w:ascii="Times New Roman" w:eastAsia="Calibri" w:hAnsi="Times New Roman" w:cs="Times New Roman"/>
          <w:sz w:val="24"/>
          <w:szCs w:val="24"/>
        </w:rPr>
        <w:t>-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824C2F">
        <w:rPr>
          <w:rFonts w:ascii="Times New Roman" w:eastAsia="Calibri" w:hAnsi="Times New Roman" w:cs="Times New Roman"/>
          <w:sz w:val="24"/>
          <w:szCs w:val="24"/>
        </w:rPr>
        <w:t>.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>Русский филологический</w:t>
      </w:r>
    </w:p>
    <w:p w:rsidR="008673AA" w:rsidRPr="00E57688" w:rsidRDefault="008673AA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3AA" w:rsidRPr="00E57688" w:rsidSect="00714412">
      <w:pgSz w:w="16838" w:h="11906" w:orient="landscape"/>
      <w:pgMar w:top="566" w:right="568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7"/>
  </w:num>
  <w:num w:numId="5">
    <w:abstractNumId w:val="10"/>
  </w:num>
  <w:num w:numId="6">
    <w:abstractNumId w:val="23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20"/>
  </w:num>
  <w:num w:numId="13">
    <w:abstractNumId w:val="25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0"/>
  </w:num>
  <w:num w:numId="24">
    <w:abstractNumId w:val="22"/>
  </w:num>
  <w:num w:numId="25">
    <w:abstractNumId w:val="1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A"/>
    <w:rsid w:val="00167014"/>
    <w:rsid w:val="003557EA"/>
    <w:rsid w:val="0066541B"/>
    <w:rsid w:val="00714412"/>
    <w:rsid w:val="007237B1"/>
    <w:rsid w:val="00811AD8"/>
    <w:rsid w:val="00824C2F"/>
    <w:rsid w:val="008673AA"/>
    <w:rsid w:val="00C131CB"/>
    <w:rsid w:val="00C87C4C"/>
    <w:rsid w:val="00E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88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88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7920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2019-11-09T21:42:00Z</dcterms:created>
  <dcterms:modified xsi:type="dcterms:W3CDTF">2019-11-10T19:59:00Z</dcterms:modified>
</cp:coreProperties>
</file>